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E5BB1">
      <w:pPr>
        <w:jc w:val="center"/>
        <w:rPr>
          <w:rFonts w:hint="eastAsia" w:ascii="宋体" w:hAnsi="宋体" w:cs="宋体"/>
          <w:b/>
          <w:sz w:val="44"/>
          <w:szCs w:val="44"/>
          <w:lang w:val="en-US" w:eastAsia="zh-CN"/>
        </w:rPr>
      </w:pPr>
    </w:p>
    <w:p w14:paraId="5049540F">
      <w:pPr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  <w:lang w:val="en-US" w:eastAsia="zh-CN"/>
        </w:rPr>
        <w:t>采集</w:t>
      </w:r>
      <w:r>
        <w:rPr>
          <w:rFonts w:hint="eastAsia" w:ascii="宋体" w:hAnsi="宋体" w:cs="宋体"/>
          <w:b/>
          <w:sz w:val="44"/>
          <w:szCs w:val="44"/>
        </w:rPr>
        <w:t>故障</w:t>
      </w:r>
      <w:r>
        <w:rPr>
          <w:rFonts w:hint="eastAsia" w:ascii="宋体" w:hAnsi="宋体" w:cs="宋体"/>
          <w:b/>
          <w:sz w:val="44"/>
          <w:szCs w:val="44"/>
          <w:lang w:val="en-US" w:eastAsia="zh-CN"/>
        </w:rPr>
        <w:t>识别</w:t>
      </w:r>
      <w:r>
        <w:rPr>
          <w:rFonts w:hint="eastAsia" w:ascii="宋体" w:hAnsi="宋体" w:cs="宋体"/>
          <w:b/>
          <w:sz w:val="44"/>
          <w:szCs w:val="44"/>
        </w:rPr>
        <w:t>仪</w:t>
      </w:r>
    </w:p>
    <w:p w14:paraId="246FD0E9">
      <w:pPr>
        <w:jc w:val="center"/>
        <w:rPr>
          <w:rFonts w:hint="eastAsia" w:ascii="宋体" w:hAnsi="宋体" w:cs="宋体"/>
          <w:b/>
          <w:sz w:val="44"/>
          <w:szCs w:val="44"/>
        </w:rPr>
      </w:pPr>
    </w:p>
    <w:p w14:paraId="0C6A4B28">
      <w:pPr>
        <w:spacing w:after="240"/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GSM-TYCJ103</w:t>
      </w:r>
    </w:p>
    <w:p w14:paraId="66CD6F94">
      <w:pPr>
        <w:spacing w:after="240"/>
        <w:jc w:val="center"/>
        <w:rPr>
          <w:rFonts w:hint="eastAsia" w:ascii="宋体" w:hAnsi="宋体" w:cs="宋体"/>
          <w:b/>
          <w:sz w:val="44"/>
          <w:szCs w:val="44"/>
        </w:rPr>
      </w:pPr>
    </w:p>
    <w:p w14:paraId="089D1AA8">
      <w:pPr>
        <w:spacing w:after="240"/>
        <w:jc w:val="center"/>
        <w:rPr>
          <w:rFonts w:hint="eastAsia" w:ascii="宋体" w:hAnsi="宋体" w:cs="宋体"/>
          <w:b/>
          <w:sz w:val="44"/>
          <w:szCs w:val="44"/>
        </w:rPr>
      </w:pPr>
    </w:p>
    <w:p w14:paraId="64D1E8D6">
      <w:pPr>
        <w:spacing w:after="240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bCs/>
          <w:sz w:val="72"/>
          <w:szCs w:val="72"/>
        </w:rPr>
        <w:t>使 用 说 明 书</w:t>
      </w:r>
    </w:p>
    <w:p w14:paraId="63DE597E">
      <w:pPr>
        <w:jc w:val="center"/>
        <w:rPr>
          <w:rFonts w:ascii="宋体" w:hAnsi="宋体" w:cs="宋体"/>
          <w:sz w:val="44"/>
          <w:szCs w:val="44"/>
        </w:rPr>
      </w:pPr>
    </w:p>
    <w:p w14:paraId="641C2B5C">
      <w:pPr>
        <w:jc w:val="center"/>
        <w:rPr>
          <w:rFonts w:ascii="宋体" w:hAnsi="宋体" w:cs="宋体"/>
          <w:sz w:val="44"/>
          <w:szCs w:val="44"/>
        </w:rPr>
      </w:pPr>
    </w:p>
    <w:p w14:paraId="27B85A8A">
      <w:pPr>
        <w:rPr>
          <w:rFonts w:ascii="宋体" w:hAnsi="宋体" w:cs="宋体"/>
          <w:sz w:val="44"/>
          <w:szCs w:val="44"/>
        </w:rPr>
      </w:pPr>
    </w:p>
    <w:p w14:paraId="5E870F0D">
      <w:pPr>
        <w:jc w:val="center"/>
        <w:rPr>
          <w:rFonts w:ascii="宋体" w:hAnsi="宋体" w:cs="宋体"/>
          <w:b/>
          <w:sz w:val="44"/>
          <w:szCs w:val="44"/>
        </w:rPr>
      </w:pPr>
    </w:p>
    <w:p w14:paraId="7E59609A">
      <w:pPr>
        <w:jc w:val="center"/>
        <w:rPr>
          <w:rFonts w:ascii="宋体" w:hAnsi="宋体" w:cs="宋体"/>
          <w:b/>
          <w:sz w:val="44"/>
          <w:szCs w:val="44"/>
        </w:rPr>
      </w:pPr>
    </w:p>
    <w:p w14:paraId="45DBEFF4">
      <w:pPr>
        <w:jc w:val="center"/>
        <w:rPr>
          <w:rFonts w:ascii="宋体" w:hAnsi="宋体" w:cs="宋体"/>
          <w:b/>
          <w:sz w:val="44"/>
          <w:szCs w:val="44"/>
        </w:rPr>
      </w:pPr>
    </w:p>
    <w:p w14:paraId="21912ECC">
      <w:pPr>
        <w:jc w:val="center"/>
        <w:rPr>
          <w:rFonts w:ascii="宋体" w:hAnsi="宋体" w:cs="宋体"/>
          <w:b/>
          <w:sz w:val="44"/>
          <w:szCs w:val="44"/>
        </w:rPr>
      </w:pPr>
    </w:p>
    <w:p w14:paraId="59BD02B4">
      <w:pPr>
        <w:jc w:val="center"/>
        <w:rPr>
          <w:rFonts w:ascii="宋体" w:hAnsi="宋体" w:cs="宋体"/>
          <w:b/>
          <w:sz w:val="44"/>
          <w:szCs w:val="44"/>
        </w:rPr>
      </w:pPr>
    </w:p>
    <w:p w14:paraId="431D8EE1">
      <w:pPr>
        <w:tabs>
          <w:tab w:val="left" w:pos="780"/>
        </w:tabs>
        <w:rPr>
          <w:rFonts w:ascii="宋体" w:hAnsi="宋体" w:cs="宋体"/>
          <w:b/>
          <w:sz w:val="44"/>
          <w:szCs w:val="44"/>
        </w:rPr>
      </w:pPr>
    </w:p>
    <w:p w14:paraId="5FFF1F42">
      <w:pPr>
        <w:tabs>
          <w:tab w:val="left" w:pos="780"/>
        </w:tabs>
        <w:rPr>
          <w:rFonts w:ascii="宋体" w:hAnsi="宋体" w:cs="宋体"/>
          <w:b/>
          <w:sz w:val="44"/>
          <w:szCs w:val="44"/>
        </w:rPr>
      </w:pPr>
    </w:p>
    <w:p w14:paraId="595F18CB">
      <w:pPr>
        <w:tabs>
          <w:tab w:val="left" w:pos="780"/>
        </w:tabs>
        <w:rPr>
          <w:rFonts w:ascii="宋体" w:hAnsi="宋体" w:cs="宋体"/>
          <w:b/>
          <w:sz w:val="44"/>
          <w:szCs w:val="44"/>
        </w:rPr>
      </w:pPr>
    </w:p>
    <w:p w14:paraId="3513E505">
      <w:pPr>
        <w:tabs>
          <w:tab w:val="left" w:pos="780"/>
        </w:tabs>
      </w:pPr>
    </w:p>
    <w:p w14:paraId="5745BF0A">
      <w:pPr>
        <w:tabs>
          <w:tab w:val="left" w:pos="780"/>
        </w:tabs>
      </w:pPr>
    </w:p>
    <w:p w14:paraId="29BED4C0">
      <w:r>
        <w:br w:type="page"/>
      </w:r>
    </w:p>
    <w:sdt>
      <w:sdt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zh-CN"/>
        </w:rPr>
        <w:id w:val="-2050763384"/>
        <w:docPartObj>
          <w:docPartGallery w:val="Table of Contents"/>
          <w:docPartUnique/>
        </w:docPartObj>
      </w:sdtPr>
      <w:sdtEndPr>
        <w:rPr>
          <w:rFonts w:asciiTheme="minorEastAsia" w:hAnsiTheme="minorEastAsia" w:eastAsiaTheme="minorEastAsia" w:cstheme="minorBidi"/>
          <w:b w:val="0"/>
          <w:bCs w:val="0"/>
          <w:color w:val="auto"/>
          <w:kern w:val="2"/>
          <w:sz w:val="24"/>
          <w:szCs w:val="24"/>
          <w:lang w:val="zh-CN"/>
        </w:rPr>
      </w:sdtEndPr>
      <w:sdtContent>
        <w:p w14:paraId="18F495BB">
          <w:pPr>
            <w:pStyle w:val="22"/>
            <w:jc w:val="center"/>
          </w:pPr>
          <w:r>
            <w:rPr>
              <w:lang w:val="zh-CN"/>
            </w:rPr>
            <w:t>目录</w:t>
          </w:r>
        </w:p>
        <w:p w14:paraId="0F23652E">
          <w:pPr>
            <w:pStyle w:val="10"/>
            <w:tabs>
              <w:tab w:val="right" w:leader="dot" w:pos="8306"/>
              <w:tab w:val="clear" w:pos="420"/>
              <w:tab w:val="clear" w:pos="8296"/>
            </w:tabs>
          </w:pPr>
          <w:r>
            <w:rPr>
              <w:rFonts w:asciiTheme="minorEastAsia" w:hAnsiTheme="minorEastAsia"/>
              <w:sz w:val="24"/>
              <w:szCs w:val="24"/>
            </w:rPr>
            <w:fldChar w:fldCharType="begin"/>
          </w:r>
          <w:r>
            <w:rPr>
              <w:rFonts w:asciiTheme="minorEastAsia" w:hAnsiTheme="minorEastAsia"/>
              <w:sz w:val="24"/>
              <w:szCs w:val="24"/>
            </w:rPr>
            <w:instrText xml:space="preserve"> TOC \o "1-3" \h \z \u </w:instrText>
          </w:r>
          <w:r>
            <w:rPr>
              <w:rFonts w:asciiTheme="minorEastAsia" w:hAnsiTheme="minorEastAsia"/>
              <w:sz w:val="24"/>
              <w:szCs w:val="24"/>
            </w:rPr>
            <w:fldChar w:fldCharType="separate"/>
          </w:r>
          <w:r>
            <w:rPr>
              <w:rFonts w:asciiTheme="minorEastAsia" w:hAnsiTheme="minorEastAsia"/>
              <w:szCs w:val="24"/>
            </w:rPr>
            <w:fldChar w:fldCharType="begin"/>
          </w:r>
          <w:r>
            <w:rPr>
              <w:rFonts w:asciiTheme="minorEastAsia" w:hAnsiTheme="minorEastAsia"/>
              <w:szCs w:val="24"/>
            </w:rPr>
            <w:instrText xml:space="preserve"> HYPERLINK \l _Toc11973 </w:instrText>
          </w:r>
          <w:r>
            <w:rPr>
              <w:rFonts w:asciiTheme="minorEastAsia" w:hAnsiTheme="minorEastAsia"/>
              <w:szCs w:val="24"/>
            </w:rPr>
            <w:fldChar w:fldCharType="separate"/>
          </w:r>
          <w:r>
            <w:rPr>
              <w:rFonts w:hint="eastAsia"/>
              <w:szCs w:val="24"/>
              <w:lang w:val="en-US" w:eastAsia="zh-CN"/>
            </w:rPr>
            <w:t xml:space="preserve">1  </w:t>
          </w:r>
          <w:r>
            <w:rPr>
              <w:rFonts w:hint="eastAsia"/>
              <w:szCs w:val="24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_Toc11973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Theme="minorEastAsia" w:hAnsiTheme="minorEastAsia"/>
              <w:szCs w:val="24"/>
            </w:rPr>
            <w:fldChar w:fldCharType="end"/>
          </w:r>
        </w:p>
        <w:p w14:paraId="07C6B736">
          <w:pPr>
            <w:pStyle w:val="10"/>
            <w:tabs>
              <w:tab w:val="right" w:leader="dot" w:pos="8306"/>
              <w:tab w:val="clear" w:pos="420"/>
              <w:tab w:val="clear" w:pos="829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_Toc25903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szCs w:val="24"/>
              <w:lang w:val="en-US" w:eastAsia="zh-CN"/>
            </w:rPr>
            <w:t xml:space="preserve">2  </w:t>
          </w:r>
          <w:r>
            <w:rPr>
              <w:rFonts w:hint="eastAsia"/>
              <w:szCs w:val="24"/>
            </w:rPr>
            <w:t>产品</w:t>
          </w:r>
          <w:r>
            <w:rPr>
              <w:rFonts w:hint="eastAsia"/>
              <w:szCs w:val="24"/>
              <w:lang w:val="en-US" w:eastAsia="zh-CN"/>
            </w:rPr>
            <w:t>外观</w:t>
          </w:r>
          <w:r>
            <w:tab/>
          </w:r>
          <w:r>
            <w:fldChar w:fldCharType="begin"/>
          </w:r>
          <w:r>
            <w:instrText xml:space="preserve"> PAGEREF _Toc25903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63BFA2BD">
          <w:pPr>
            <w:pStyle w:val="11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_Toc31507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szCs w:val="21"/>
              <w:lang w:val="en-US" w:eastAsia="zh-CN"/>
            </w:rPr>
            <w:t xml:space="preserve">1.1  </w:t>
          </w:r>
          <w:r>
            <w:rPr>
              <w:rFonts w:hint="eastAsia"/>
              <w:szCs w:val="21"/>
            </w:rPr>
            <w:t>产品</w:t>
          </w:r>
          <w:r>
            <w:rPr>
              <w:rFonts w:hint="eastAsia"/>
              <w:szCs w:val="21"/>
              <w:lang w:val="en-US" w:eastAsia="zh-CN"/>
            </w:rPr>
            <w:t>外观</w:t>
          </w:r>
          <w:r>
            <w:tab/>
          </w:r>
          <w:r>
            <w:fldChar w:fldCharType="begin"/>
          </w:r>
          <w:r>
            <w:instrText xml:space="preserve"> PAGEREF _Toc31507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347DBD95">
          <w:pPr>
            <w:pStyle w:val="11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_Toc14322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szCs w:val="21"/>
              <w:lang w:val="en-US" w:eastAsia="zh-CN"/>
            </w:rPr>
            <w:t xml:space="preserve">2.2 </w:t>
          </w:r>
          <w:r>
            <w:rPr>
              <w:rFonts w:hint="eastAsia"/>
              <w:szCs w:val="21"/>
              <w:highlight w:val="none"/>
              <w:lang w:val="en-US" w:eastAsia="zh-CN"/>
            </w:rPr>
            <w:t xml:space="preserve"> </w:t>
          </w:r>
          <w:r>
            <w:rPr>
              <w:rFonts w:hint="eastAsia"/>
              <w:szCs w:val="21"/>
              <w:highlight w:val="none"/>
            </w:rPr>
            <w:t>结构框图</w:t>
          </w:r>
          <w:r>
            <w:tab/>
          </w:r>
          <w:r>
            <w:fldChar w:fldCharType="begin"/>
          </w:r>
          <w:r>
            <w:instrText xml:space="preserve"> PAGEREF _Toc14322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65CEF474">
          <w:pPr>
            <w:pStyle w:val="10"/>
            <w:tabs>
              <w:tab w:val="right" w:leader="dot" w:pos="8306"/>
              <w:tab w:val="clear" w:pos="420"/>
              <w:tab w:val="clear" w:pos="829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_Toc18403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szCs w:val="24"/>
              <w:lang w:val="en-US" w:eastAsia="zh-CN"/>
            </w:rPr>
            <w:t xml:space="preserve">3  </w:t>
          </w:r>
          <w:r>
            <w:rPr>
              <w:rFonts w:hint="eastAsia"/>
              <w:szCs w:val="24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_Toc18403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4F6640DE">
          <w:pPr>
            <w:pStyle w:val="10"/>
            <w:tabs>
              <w:tab w:val="right" w:leader="dot" w:pos="8306"/>
              <w:tab w:val="clear" w:pos="420"/>
              <w:tab w:val="clear" w:pos="829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_Toc15827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szCs w:val="24"/>
              <w:lang w:val="en-US" w:eastAsia="zh-CN"/>
            </w:rPr>
            <w:t xml:space="preserve">4  </w:t>
          </w:r>
          <w:r>
            <w:rPr>
              <w:rFonts w:hint="eastAsia"/>
              <w:szCs w:val="24"/>
            </w:rPr>
            <w:t>使用说明</w:t>
          </w:r>
          <w:r>
            <w:tab/>
          </w:r>
          <w:r>
            <w:fldChar w:fldCharType="begin"/>
          </w:r>
          <w:r>
            <w:instrText xml:space="preserve"> PAGEREF _Toc15827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21014DE5">
          <w:pPr>
            <w:pStyle w:val="11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_Toc15982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szCs w:val="21"/>
              <w:lang w:val="en-US" w:eastAsia="zh-CN"/>
            </w:rPr>
            <w:t>4.1数据抄读</w:t>
          </w:r>
          <w:r>
            <w:tab/>
          </w:r>
          <w:r>
            <w:fldChar w:fldCharType="begin"/>
          </w:r>
          <w:r>
            <w:instrText xml:space="preserve"> PAGEREF _Toc15982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6A7BB9F6">
          <w:pPr>
            <w:pStyle w:val="11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_Toc23111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szCs w:val="21"/>
              <w:highlight w:val="none"/>
              <w:lang w:val="en-US" w:eastAsia="zh-CN"/>
            </w:rPr>
            <w:t>4.2模块检测</w:t>
          </w:r>
          <w:r>
            <w:tab/>
          </w:r>
          <w:r>
            <w:fldChar w:fldCharType="begin"/>
          </w:r>
          <w:r>
            <w:instrText xml:space="preserve"> PAGEREF _Toc23111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52E7A052">
          <w:pPr>
            <w:pStyle w:val="11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_Toc7918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szCs w:val="21"/>
              <w:lang w:val="en-US" w:eastAsia="zh-CN"/>
            </w:rPr>
            <w:t>4.3频段切换</w:t>
          </w:r>
          <w:r>
            <w:tab/>
          </w:r>
          <w:r>
            <w:fldChar w:fldCharType="begin"/>
          </w:r>
          <w:r>
            <w:instrText xml:space="preserve"> PAGEREF _Toc7918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5B1494FB">
          <w:pPr>
            <w:pStyle w:val="11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_Toc29910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szCs w:val="21"/>
              <w:lang w:val="en-US" w:eastAsia="zh-CN"/>
            </w:rPr>
            <w:t>4.4通信分析</w:t>
          </w:r>
          <w:r>
            <w:tab/>
          </w:r>
          <w:r>
            <w:fldChar w:fldCharType="begin"/>
          </w:r>
          <w:r>
            <w:instrText xml:space="preserve"> PAGEREF _Toc29910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71CDF946">
          <w:pPr>
            <w:pStyle w:val="6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_Toc562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bCs/>
              <w:szCs w:val="21"/>
              <w:lang w:val="en-US" w:eastAsia="zh-CN"/>
            </w:rPr>
            <w:t>4</w:t>
          </w:r>
          <w:r>
            <w:rPr>
              <w:rFonts w:hint="default"/>
              <w:bCs/>
              <w:szCs w:val="21"/>
              <w:lang w:val="en-US" w:eastAsia="zh-CN"/>
            </w:rPr>
            <w:t>.4.1载波监控</w:t>
          </w:r>
          <w:r>
            <w:tab/>
          </w:r>
          <w:r>
            <w:fldChar w:fldCharType="begin"/>
          </w:r>
          <w:r>
            <w:instrText xml:space="preserve"> PAGEREF _Toc562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7A36E3CD">
          <w:pPr>
            <w:pStyle w:val="6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_Toc31957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bCs/>
              <w:szCs w:val="21"/>
              <w:lang w:val="en-US" w:eastAsia="zh-CN"/>
            </w:rPr>
            <w:t>4</w:t>
          </w:r>
          <w:r>
            <w:rPr>
              <w:rFonts w:hint="default"/>
              <w:bCs/>
              <w:szCs w:val="21"/>
              <w:lang w:val="en-US" w:eastAsia="zh-CN"/>
            </w:rPr>
            <w:t>.4.2入网监测</w:t>
          </w:r>
          <w:r>
            <w:tab/>
          </w:r>
          <w:r>
            <w:fldChar w:fldCharType="begin"/>
          </w:r>
          <w:r>
            <w:instrText xml:space="preserve"> PAGEREF _Toc31957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6FDCDDE3">
          <w:pPr>
            <w:pStyle w:val="6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_Toc29945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bCs/>
              <w:szCs w:val="21"/>
              <w:lang w:val="en-US" w:eastAsia="zh-CN"/>
            </w:rPr>
            <w:t>4</w:t>
          </w:r>
          <w:r>
            <w:rPr>
              <w:rFonts w:hint="default"/>
              <w:bCs/>
              <w:szCs w:val="21"/>
              <w:lang w:val="en-US" w:eastAsia="zh-CN"/>
            </w:rPr>
            <w:t>.4.3拓扑分析</w:t>
          </w:r>
          <w:r>
            <w:tab/>
          </w:r>
          <w:r>
            <w:fldChar w:fldCharType="begin"/>
          </w:r>
          <w:r>
            <w:instrText xml:space="preserve"> PAGEREF _Toc29945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67D6742B">
          <w:pPr>
            <w:pStyle w:val="6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_Toc9174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bCs/>
              <w:szCs w:val="21"/>
              <w:lang w:val="en-US" w:eastAsia="zh-CN"/>
            </w:rPr>
            <w:t>4</w:t>
          </w:r>
          <w:r>
            <w:rPr>
              <w:rFonts w:hint="default"/>
              <w:bCs/>
              <w:szCs w:val="21"/>
              <w:lang w:val="en-US" w:eastAsia="zh-CN"/>
            </w:rPr>
            <w:t>.4.4抄表监测</w:t>
          </w:r>
          <w:r>
            <w:tab/>
          </w:r>
          <w:r>
            <w:fldChar w:fldCharType="begin"/>
          </w:r>
          <w:r>
            <w:instrText xml:space="preserve"> PAGEREF _Toc9174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2B3D10F1">
          <w:pPr>
            <w:pStyle w:val="6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_Toc8982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bCs/>
              <w:szCs w:val="21"/>
              <w:highlight w:val="none"/>
              <w:lang w:val="en-US" w:eastAsia="zh-CN"/>
            </w:rPr>
            <w:t>4.4.5多网络信息</w:t>
          </w:r>
          <w:r>
            <w:tab/>
          </w:r>
          <w:r>
            <w:fldChar w:fldCharType="begin"/>
          </w:r>
          <w:r>
            <w:instrText xml:space="preserve"> PAGEREF _Toc8982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23F02EA0">
          <w:pPr>
            <w:pStyle w:val="11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_Toc19652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szCs w:val="21"/>
              <w:highlight w:val="none"/>
              <w:lang w:val="en-US" w:eastAsia="zh-CN"/>
            </w:rPr>
            <w:t>4.5 衰减测试</w:t>
          </w:r>
          <w:r>
            <w:tab/>
          </w:r>
          <w:r>
            <w:fldChar w:fldCharType="begin"/>
          </w:r>
          <w:r>
            <w:instrText xml:space="preserve"> PAGEREF _Toc19652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0B958E2B">
          <w:pPr>
            <w:pStyle w:val="11"/>
            <w:tabs>
              <w:tab w:val="right" w:leader="dot" w:pos="830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_Toc14496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szCs w:val="21"/>
              <w:lang w:val="en-US" w:eastAsia="zh-CN"/>
            </w:rPr>
            <w:t>4.6 电表搜索</w:t>
          </w:r>
          <w:r>
            <w:tab/>
          </w:r>
          <w:r>
            <w:fldChar w:fldCharType="begin"/>
          </w:r>
          <w:r>
            <w:instrText xml:space="preserve"> PAGEREF _Toc14496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6A320531">
          <w:pPr>
            <w:pStyle w:val="10"/>
            <w:tabs>
              <w:tab w:val="right" w:leader="dot" w:pos="8306"/>
              <w:tab w:val="clear" w:pos="420"/>
              <w:tab w:val="clear" w:pos="8296"/>
            </w:tabs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begin"/>
          </w:r>
          <w:r>
            <w:rPr>
              <w:rFonts w:asciiTheme="minorEastAsia" w:hAnsiTheme="minorEastAsia"/>
              <w:bCs/>
              <w:szCs w:val="24"/>
              <w:lang w:val="zh-CN"/>
            </w:rPr>
            <w:instrText xml:space="preserve"> HYPERLINK \l _Toc23754 </w:instrText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separate"/>
          </w:r>
          <w:r>
            <w:rPr>
              <w:rFonts w:hint="eastAsia"/>
              <w:szCs w:val="24"/>
              <w:lang w:val="en-US" w:eastAsia="zh-CN"/>
            </w:rPr>
            <w:t xml:space="preserve">5  </w:t>
          </w:r>
          <w:r>
            <w:rPr>
              <w:rFonts w:hint="eastAsia"/>
              <w:szCs w:val="24"/>
            </w:rPr>
            <w:t>质量保证条款和服务承诺</w:t>
          </w:r>
          <w:r>
            <w:tab/>
          </w:r>
          <w:r>
            <w:fldChar w:fldCharType="begin"/>
          </w:r>
          <w:r>
            <w:instrText xml:space="preserve"> PAGEREF _Toc23754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  <w:p w14:paraId="745FD830">
          <w:pPr>
            <w:spacing w:line="360" w:lineRule="auto"/>
            <w:rPr>
              <w:rFonts w:asciiTheme="minorEastAsia" w:hAnsiTheme="minorEastAsia"/>
              <w:sz w:val="24"/>
              <w:szCs w:val="24"/>
            </w:rPr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</w:sdtContent>
    </w:sdt>
    <w:p w14:paraId="1BF590C4">
      <w:pPr>
        <w:tabs>
          <w:tab w:val="left" w:pos="780"/>
        </w:tabs>
      </w:pPr>
    </w:p>
    <w:p w14:paraId="36BF7543">
      <w:pPr>
        <w:tabs>
          <w:tab w:val="left" w:pos="780"/>
        </w:tabs>
      </w:pPr>
    </w:p>
    <w:p w14:paraId="6A025ECF">
      <w:pPr>
        <w:tabs>
          <w:tab w:val="left" w:pos="780"/>
        </w:tabs>
      </w:pPr>
    </w:p>
    <w:p w14:paraId="77FC125F">
      <w:pPr>
        <w:tabs>
          <w:tab w:val="left" w:pos="780"/>
        </w:tabs>
      </w:pPr>
    </w:p>
    <w:p w14:paraId="1C59CB4A">
      <w:pPr>
        <w:tabs>
          <w:tab w:val="left" w:pos="780"/>
        </w:tabs>
      </w:pPr>
    </w:p>
    <w:p w14:paraId="3BD88444">
      <w:pPr>
        <w:tabs>
          <w:tab w:val="left" w:pos="780"/>
        </w:tabs>
      </w:pPr>
    </w:p>
    <w:p w14:paraId="7C56E8E2">
      <w:pPr>
        <w:tabs>
          <w:tab w:val="left" w:pos="780"/>
        </w:tabs>
      </w:pPr>
    </w:p>
    <w:p w14:paraId="2D31318B">
      <w:pPr>
        <w:tabs>
          <w:tab w:val="left" w:pos="780"/>
        </w:tabs>
      </w:pPr>
    </w:p>
    <w:p w14:paraId="7D380905">
      <w:pPr>
        <w:tabs>
          <w:tab w:val="left" w:pos="780"/>
        </w:tabs>
      </w:pPr>
    </w:p>
    <w:p w14:paraId="601E5E6A">
      <w:pPr>
        <w:tabs>
          <w:tab w:val="left" w:pos="780"/>
        </w:tabs>
      </w:pPr>
    </w:p>
    <w:p w14:paraId="225232BF">
      <w:pPr>
        <w:tabs>
          <w:tab w:val="left" w:pos="780"/>
        </w:tabs>
      </w:pPr>
    </w:p>
    <w:p w14:paraId="2E107C5E">
      <w:pPr>
        <w:tabs>
          <w:tab w:val="left" w:pos="780"/>
        </w:tabs>
      </w:pPr>
    </w:p>
    <w:p w14:paraId="12B2D4E0">
      <w:pPr>
        <w:tabs>
          <w:tab w:val="left" w:pos="780"/>
        </w:tabs>
      </w:pPr>
    </w:p>
    <w:p w14:paraId="71387E16">
      <w:pPr>
        <w:tabs>
          <w:tab w:val="left" w:pos="780"/>
        </w:tabs>
      </w:pPr>
    </w:p>
    <w:p w14:paraId="231D447F">
      <w:pPr>
        <w:tabs>
          <w:tab w:val="left" w:pos="780"/>
        </w:tabs>
      </w:pPr>
    </w:p>
    <w:p w14:paraId="0DF0D3EA">
      <w:pPr>
        <w:tabs>
          <w:tab w:val="left" w:pos="780"/>
        </w:tabs>
      </w:pPr>
    </w:p>
    <w:p w14:paraId="57F39A36">
      <w:pPr>
        <w:tabs>
          <w:tab w:val="left" w:pos="780"/>
        </w:tabs>
      </w:pPr>
    </w:p>
    <w:p w14:paraId="7BB8125F">
      <w:pPr>
        <w:tabs>
          <w:tab w:val="left" w:pos="780"/>
        </w:tabs>
      </w:pPr>
    </w:p>
    <w:p w14:paraId="53467CAF">
      <w:pPr>
        <w:tabs>
          <w:tab w:val="left" w:pos="780"/>
        </w:tabs>
      </w:pPr>
    </w:p>
    <w:p w14:paraId="522A2196">
      <w:pPr>
        <w:tabs>
          <w:tab w:val="left" w:pos="780"/>
        </w:tabs>
      </w:pPr>
    </w:p>
    <w:p w14:paraId="3557536E">
      <w:pPr>
        <w:tabs>
          <w:tab w:val="left" w:pos="780"/>
        </w:tabs>
      </w:pPr>
    </w:p>
    <w:p w14:paraId="722877ED">
      <w:pPr>
        <w:tabs>
          <w:tab w:val="left" w:pos="780"/>
        </w:tabs>
      </w:pPr>
    </w:p>
    <w:p w14:paraId="158DBE8E">
      <w:r>
        <w:br w:type="page"/>
      </w:r>
    </w:p>
    <w:p w14:paraId="5511564B">
      <w:pPr>
        <w:pStyle w:val="2"/>
        <w:numPr>
          <w:ilvl w:val="0"/>
          <w:numId w:val="0"/>
        </w:numPr>
        <w:spacing w:line="240" w:lineRule="auto"/>
        <w:ind w:leftChars="0"/>
        <w:rPr>
          <w:rFonts w:hint="eastAsia"/>
          <w:sz w:val="24"/>
          <w:szCs w:val="24"/>
        </w:rPr>
      </w:pPr>
      <w:bookmarkStart w:id="0" w:name="_Toc11973"/>
      <w:r>
        <w:rPr>
          <w:rFonts w:hint="eastAsia"/>
          <w:sz w:val="24"/>
          <w:szCs w:val="24"/>
          <w:lang w:val="en-US" w:eastAsia="zh-CN"/>
        </w:rPr>
        <w:t xml:space="preserve">1  </w:t>
      </w:r>
      <w:r>
        <w:rPr>
          <w:rFonts w:hint="eastAsia"/>
          <w:sz w:val="24"/>
          <w:szCs w:val="24"/>
        </w:rPr>
        <w:t>产品概述</w:t>
      </w:r>
      <w:bookmarkEnd w:id="0"/>
    </w:p>
    <w:p w14:paraId="4640DD22">
      <w:pPr>
        <w:tabs>
          <w:tab w:val="left" w:pos="780"/>
        </w:tabs>
        <w:spacing w:line="360" w:lineRule="auto"/>
        <w:ind w:firstLine="42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1"/>
          <w:szCs w:val="21"/>
        </w:rPr>
        <w:t>随着能源转型的深入，“新型电力系统”将是未来能源体系中最重要的变革。HPLC高速电力线载波技术实现分钟级抄表，成为推动业务变革的关键。为了应对挑战，我们开发了GSM-TYCJ103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采集</w:t>
      </w:r>
      <w:r>
        <w:rPr>
          <w:rFonts w:hint="eastAsia" w:asciiTheme="minorEastAsia" w:hAnsiTheme="minorEastAsia"/>
          <w:sz w:val="21"/>
          <w:szCs w:val="21"/>
        </w:rPr>
        <w:t>故障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识别</w:t>
      </w:r>
      <w:r>
        <w:rPr>
          <w:rFonts w:hint="eastAsia" w:asciiTheme="minorEastAsia" w:hAnsiTheme="minorEastAsia"/>
          <w:sz w:val="21"/>
          <w:szCs w:val="21"/>
        </w:rPr>
        <w:t>仪，</w:t>
      </w:r>
      <w:r>
        <w:rPr>
          <w:rFonts w:hint="eastAsia" w:asciiTheme="minorEastAsia" w:hAnsiTheme="minorEastAsia"/>
          <w:b/>
          <w:bCs/>
          <w:sz w:val="21"/>
          <w:szCs w:val="21"/>
        </w:rPr>
        <w:t>该仪器能快速诊断判别采集通信故障，并能辅助解决，提升采集成功率</w:t>
      </w:r>
      <w:r>
        <w:rPr>
          <w:rFonts w:hint="eastAsia" w:asciiTheme="minorEastAsia" w:hAnsiTheme="minorEastAsia"/>
          <w:b/>
          <w:bCs/>
          <w:sz w:val="21"/>
          <w:szCs w:val="21"/>
          <w:lang w:eastAsia="zh-CN"/>
        </w:rPr>
        <w:t>，</w:t>
      </w:r>
      <w:r>
        <w:rPr>
          <w:rFonts w:hint="eastAsia" w:asciiTheme="minorEastAsia" w:hAnsiTheme="minorEastAsia"/>
          <w:sz w:val="21"/>
          <w:szCs w:val="21"/>
        </w:rPr>
        <w:t>为电力运维提供高效、精确的支持，助力新型电力系统的顺利推进和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可靠</w:t>
      </w:r>
      <w:r>
        <w:rPr>
          <w:rFonts w:hint="eastAsia" w:asciiTheme="minorEastAsia" w:hAnsiTheme="minorEastAsia"/>
          <w:sz w:val="21"/>
          <w:szCs w:val="21"/>
        </w:rPr>
        <w:t>运行。</w:t>
      </w:r>
    </w:p>
    <w:p w14:paraId="300AD598">
      <w:pPr>
        <w:pStyle w:val="2"/>
        <w:numPr>
          <w:ilvl w:val="0"/>
          <w:numId w:val="0"/>
        </w:numPr>
        <w:spacing w:line="240" w:lineRule="auto"/>
        <w:ind w:leftChars="0"/>
        <w:rPr>
          <w:rFonts w:hint="eastAsia"/>
          <w:sz w:val="24"/>
          <w:szCs w:val="24"/>
        </w:rPr>
      </w:pPr>
      <w:bookmarkStart w:id="1" w:name="_Toc25903"/>
      <w:r>
        <w:rPr>
          <w:rFonts w:hint="eastAsia"/>
          <w:sz w:val="24"/>
          <w:szCs w:val="24"/>
          <w:lang w:val="en-US" w:eastAsia="zh-CN"/>
        </w:rPr>
        <w:t xml:space="preserve">2  </w:t>
      </w:r>
      <w:r>
        <w:rPr>
          <w:rFonts w:hint="eastAsia"/>
          <w:sz w:val="24"/>
          <w:szCs w:val="24"/>
        </w:rPr>
        <w:t>产品</w:t>
      </w:r>
      <w:r>
        <w:rPr>
          <w:rFonts w:hint="eastAsia"/>
          <w:sz w:val="24"/>
          <w:szCs w:val="24"/>
          <w:lang w:val="en-US" w:eastAsia="zh-CN"/>
        </w:rPr>
        <w:t>外观</w:t>
      </w:r>
      <w:bookmarkEnd w:id="1"/>
    </w:p>
    <w:p w14:paraId="2AB10821">
      <w:pPr>
        <w:pStyle w:val="3"/>
        <w:numPr>
          <w:ilvl w:val="1"/>
          <w:numId w:val="0"/>
        </w:numPr>
        <w:spacing w:line="240" w:lineRule="auto"/>
        <w:ind w:leftChars="0"/>
        <w:rPr>
          <w:sz w:val="21"/>
          <w:szCs w:val="21"/>
        </w:rPr>
      </w:pPr>
      <w:bookmarkStart w:id="2" w:name="_Toc31507"/>
      <w:r>
        <w:rPr>
          <w:rFonts w:hint="eastAsia"/>
          <w:sz w:val="21"/>
          <w:szCs w:val="21"/>
          <w:lang w:val="en-US" w:eastAsia="zh-CN"/>
        </w:rPr>
        <w:t xml:space="preserve">1.1  </w:t>
      </w:r>
      <w:r>
        <w:rPr>
          <w:rFonts w:hint="eastAsia"/>
          <w:sz w:val="21"/>
          <w:szCs w:val="21"/>
        </w:rPr>
        <w:t>产品</w:t>
      </w:r>
      <w:r>
        <w:rPr>
          <w:rFonts w:hint="eastAsia"/>
          <w:sz w:val="21"/>
          <w:szCs w:val="21"/>
          <w:lang w:val="en-US" w:eastAsia="zh-CN"/>
        </w:rPr>
        <w:t>外观</w:t>
      </w:r>
      <w:bookmarkEnd w:id="2"/>
    </w:p>
    <w:p w14:paraId="1933990E"/>
    <w:p w14:paraId="47D3871F"/>
    <w:p w14:paraId="54568FB0"/>
    <w:p w14:paraId="4BD22EE7">
      <w:r>
        <w:drawing>
          <wp:inline distT="0" distB="0" distL="0" distR="0">
            <wp:extent cx="4648200" cy="4324350"/>
            <wp:effectExtent l="0" t="0" r="0" b="0"/>
            <wp:docPr id="20957138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1384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1ABDC">
      <w:pPr>
        <w:pStyle w:val="24"/>
        <w:ind w:left="425" w:firstLine="840" w:firstLineChars="40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采集故障识别</w:t>
      </w:r>
      <w:r>
        <w:rPr>
          <w:rFonts w:hint="eastAsia" w:ascii="宋体" w:hAnsi="宋体" w:cs="宋体"/>
          <w:sz w:val="21"/>
          <w:szCs w:val="21"/>
        </w:rPr>
        <w:t>仪实物外观</w:t>
      </w:r>
    </w:p>
    <w:p w14:paraId="20D7436D">
      <w:pPr>
        <w:pStyle w:val="24"/>
        <w:ind w:left="425" w:firstLine="840" w:firstLineChars="400"/>
        <w:rPr>
          <w:rFonts w:hint="eastAsia" w:ascii="宋体" w:hAnsi="宋体" w:cs="宋体"/>
          <w:sz w:val="21"/>
          <w:szCs w:val="21"/>
        </w:rPr>
      </w:pPr>
    </w:p>
    <w:p w14:paraId="7A596BFF">
      <w:pPr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br w:type="page"/>
      </w:r>
    </w:p>
    <w:p w14:paraId="2024384C">
      <w:pPr>
        <w:pStyle w:val="3"/>
        <w:numPr>
          <w:ilvl w:val="1"/>
          <w:numId w:val="0"/>
        </w:numPr>
        <w:ind w:leftChars="0"/>
        <w:rPr>
          <w:rFonts w:hint="eastAsia"/>
          <w:sz w:val="21"/>
          <w:szCs w:val="21"/>
        </w:rPr>
      </w:pPr>
      <w:bookmarkStart w:id="3" w:name="_Toc14322"/>
      <w:r>
        <w:rPr>
          <w:rFonts w:hint="eastAsia"/>
          <w:sz w:val="21"/>
          <w:szCs w:val="21"/>
          <w:lang w:val="en-US" w:eastAsia="zh-CN"/>
        </w:rPr>
        <w:t xml:space="preserve">2.2 </w:t>
      </w:r>
      <w:r>
        <w:rPr>
          <w:rFonts w:hint="eastAsia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/>
          <w:sz w:val="21"/>
          <w:szCs w:val="21"/>
          <w:highlight w:val="none"/>
        </w:rPr>
        <w:t>结构框图</w:t>
      </w:r>
      <w:bookmarkEnd w:id="3"/>
    </w:p>
    <w:p w14:paraId="6C69004A">
      <w:pPr>
        <w:jc w:val="center"/>
        <w:rPr>
          <w:rFonts w:hint="eastAsia" w:ascii="宋体" w:hAnsi="宋体" w:cs="宋体"/>
          <w:sz w:val="21"/>
          <w:szCs w:val="21"/>
        </w:rPr>
      </w:pPr>
      <w:r>
        <w:drawing>
          <wp:inline distT="0" distB="0" distL="114300" distR="114300">
            <wp:extent cx="5833110" cy="7142480"/>
            <wp:effectExtent l="0" t="0" r="15240" b="127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3110" cy="714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B6EE2">
      <w:pPr>
        <w:jc w:val="center"/>
        <w:rPr>
          <w:rFonts w:hint="eastAsia" w:ascii="宋体" w:hAnsi="宋体" w:cs="宋体"/>
          <w:sz w:val="21"/>
          <w:szCs w:val="21"/>
          <w:lang w:val="en-US" w:eastAsia="zh-CN"/>
        </w:rPr>
      </w:pPr>
    </w:p>
    <w:p w14:paraId="0A67B83D">
      <w:pPr>
        <w:jc w:val="center"/>
        <w:rPr>
          <w:rFonts w:hint="eastAsia" w:ascii="宋体" w:hAnsi="宋体" w:cs="宋体"/>
          <w:sz w:val="21"/>
          <w:szCs w:val="21"/>
          <w:lang w:val="en-US" w:eastAsia="zh-CN"/>
        </w:rPr>
      </w:pPr>
    </w:p>
    <w:p w14:paraId="4CFEB73E">
      <w:pPr>
        <w:jc w:val="center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采集故障识别</w:t>
      </w:r>
      <w:r>
        <w:rPr>
          <w:rFonts w:hint="eastAsia" w:ascii="宋体" w:hAnsi="宋体" w:cs="宋体"/>
          <w:sz w:val="21"/>
          <w:szCs w:val="21"/>
        </w:rPr>
        <w:t>仪结构框图</w:t>
      </w:r>
    </w:p>
    <w:p w14:paraId="329B05F9">
      <w:pPr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br w:type="page"/>
      </w:r>
    </w:p>
    <w:p w14:paraId="4E57A934">
      <w:pPr>
        <w:pStyle w:val="2"/>
        <w:numPr>
          <w:ilvl w:val="0"/>
          <w:numId w:val="0"/>
        </w:numPr>
        <w:ind w:leftChars="0"/>
        <w:rPr>
          <w:rFonts w:hint="eastAsia"/>
          <w:sz w:val="24"/>
          <w:szCs w:val="24"/>
        </w:rPr>
      </w:pPr>
      <w:bookmarkStart w:id="4" w:name="_Toc18403"/>
      <w:r>
        <w:rPr>
          <w:rFonts w:hint="eastAsia"/>
          <w:sz w:val="24"/>
          <w:szCs w:val="24"/>
          <w:lang w:val="en-US" w:eastAsia="zh-CN"/>
        </w:rPr>
        <w:t xml:space="preserve">3  </w:t>
      </w:r>
      <w:r>
        <w:rPr>
          <w:rFonts w:hint="eastAsia"/>
          <w:sz w:val="24"/>
          <w:szCs w:val="24"/>
        </w:rPr>
        <w:t>技术参数</w:t>
      </w:r>
      <w:bookmarkEnd w:id="4"/>
    </w:p>
    <w:tbl>
      <w:tblPr>
        <w:tblStyle w:val="14"/>
        <w:tblW w:w="8386" w:type="dxa"/>
        <w:tblInd w:w="-3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2561"/>
        <w:gridCol w:w="4125"/>
      </w:tblGrid>
      <w:tr w14:paraId="5B0D16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exact"/>
        </w:trPr>
        <w:tc>
          <w:tcPr>
            <w:tcW w:w="4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313D9">
            <w:pPr>
              <w:pStyle w:val="24"/>
              <w:spacing w:line="360" w:lineRule="auto"/>
              <w:ind w:left="425" w:firstLine="0" w:firstLineChars="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参     数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D2B25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项目和指标</w:t>
            </w:r>
          </w:p>
        </w:tc>
      </w:tr>
      <w:tr w14:paraId="121F40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</w:trPr>
        <w:tc>
          <w:tcPr>
            <w:tcW w:w="17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35CFA1">
            <w:pPr>
              <w:spacing w:line="360" w:lineRule="auto"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  <w:r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  <w:t>外观结构</w:t>
            </w: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B102E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  <w:t>整机尺寸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8937E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35X100X204 MM</w:t>
            </w:r>
          </w:p>
        </w:tc>
      </w:tr>
      <w:tr w14:paraId="143AB9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F4DF5D">
            <w:pPr>
              <w:widowControl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9D9BC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  <w:r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  <w:t>整机重量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F12B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428克</w:t>
            </w:r>
          </w:p>
        </w:tc>
      </w:tr>
      <w:tr w14:paraId="731A36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E8EE15">
            <w:pPr>
              <w:widowControl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260CA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  <w:t>屏幕尺寸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7F1F5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3.5寸</w:t>
            </w:r>
          </w:p>
        </w:tc>
      </w:tr>
      <w:tr w14:paraId="727AD6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A0CEFB">
            <w:pPr>
              <w:widowControl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14BD2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  <w:t>屏幕像素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6B2EB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320X480</w:t>
            </w:r>
          </w:p>
        </w:tc>
      </w:tr>
      <w:tr w14:paraId="690D4B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7D6978">
            <w:pPr>
              <w:widowControl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424B0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  <w:r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  <w:t>屏幕触控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07D21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电容式</w:t>
            </w:r>
          </w:p>
        </w:tc>
      </w:tr>
      <w:tr w14:paraId="059295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F0CC92">
            <w:pPr>
              <w:spacing w:line="360" w:lineRule="auto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电气参数</w:t>
            </w: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4E232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  <w:t>额定电压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65408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220V</w:t>
            </w:r>
          </w:p>
        </w:tc>
      </w:tr>
      <w:tr w14:paraId="40B1B1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885864">
            <w:pPr>
              <w:spacing w:line="360" w:lineRule="auto"/>
              <w:jc w:val="center"/>
              <w:rPr>
                <w:rFonts w:ascii="宋体" w:hAnsi="宋体" w:cs="宋体"/>
                <w:kern w:val="10"/>
                <w:sz w:val="21"/>
                <w:szCs w:val="21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3EC84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  <w:lang w:val="en-US" w:eastAsia="zh-CN"/>
              </w:rPr>
              <w:t>工作</w:t>
            </w: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电压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544EB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0.8～1.2Un</w:t>
            </w:r>
          </w:p>
        </w:tc>
      </w:tr>
      <w:tr w14:paraId="5E7565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EDC80F">
            <w:pPr>
              <w:spacing w:line="360" w:lineRule="auto"/>
              <w:jc w:val="center"/>
              <w:rPr>
                <w:rFonts w:ascii="宋体" w:hAnsi="宋体" w:cs="宋体"/>
                <w:kern w:val="10"/>
                <w:sz w:val="21"/>
                <w:szCs w:val="21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0E16E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频    率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52E13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50Hz</w:t>
            </w:r>
          </w:p>
        </w:tc>
      </w:tr>
      <w:tr w14:paraId="03EAE2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B618E7">
            <w:pPr>
              <w:widowControl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6354D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整机静态功耗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7AD95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≤ 3.5W</w:t>
            </w:r>
          </w:p>
        </w:tc>
      </w:tr>
      <w:tr w14:paraId="2CF85A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2AC03">
            <w:pPr>
              <w:widowControl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DDFA3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电池容量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91CF3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5000mHA</w:t>
            </w:r>
          </w:p>
        </w:tc>
      </w:tr>
      <w:tr w14:paraId="40E4DD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0E964">
            <w:pPr>
              <w:spacing w:line="360" w:lineRule="auto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气候参数</w:t>
            </w: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69B64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工作温度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3FAB0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-20</w:t>
            </w:r>
            <w:r>
              <w:rPr>
                <w:rFonts w:hint="eastAsia" w:ascii="宋体" w:hAnsi="宋体" w:cs="宋体"/>
                <w:sz w:val="21"/>
                <w:szCs w:val="21"/>
              </w:rPr>
              <w:t>℃～+50℃</w:t>
            </w:r>
          </w:p>
        </w:tc>
      </w:tr>
      <w:tr w14:paraId="5469C1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6F2A2">
            <w:pPr>
              <w:widowControl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6EA79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相对湿度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DF196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≤ 85%</w:t>
            </w:r>
          </w:p>
        </w:tc>
      </w:tr>
      <w:tr w14:paraId="11B000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3F01DD">
            <w:pPr>
              <w:widowControl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通信参数</w:t>
            </w: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77F89">
            <w:pPr>
              <w:spacing w:line="360" w:lineRule="auto"/>
              <w:ind w:firstLine="360"/>
              <w:jc w:val="center"/>
              <w:rPr>
                <w:rFonts w:cs="宋体" w:asciiTheme="minorEastAsia" w:hAnsiTheme="minorEastAsia"/>
                <w:kern w:val="10"/>
                <w:sz w:val="21"/>
                <w:szCs w:val="21"/>
              </w:rPr>
            </w:pPr>
            <w:r>
              <w:rPr>
                <w:rFonts w:cs="宋体" w:asciiTheme="minorEastAsia" w:hAnsiTheme="minorEastAsia"/>
                <w:kern w:val="10"/>
                <w:sz w:val="21"/>
                <w:szCs w:val="21"/>
              </w:rPr>
              <w:t>串行通信接口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4752D">
            <w:pPr>
              <w:spacing w:line="360" w:lineRule="auto"/>
              <w:ind w:firstLine="360"/>
              <w:jc w:val="center"/>
              <w:rPr>
                <w:rFonts w:cs="宋体" w:asciiTheme="minorEastAsia" w:hAnsiTheme="minorEastAsia"/>
                <w:kern w:val="1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10"/>
                <w:sz w:val="21"/>
                <w:szCs w:val="21"/>
              </w:rPr>
              <w:t>TTL电平接口</w:t>
            </w:r>
          </w:p>
        </w:tc>
      </w:tr>
      <w:tr w14:paraId="6589FB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22A1E3">
            <w:pPr>
              <w:widowControl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9373E">
            <w:pPr>
              <w:spacing w:line="360" w:lineRule="auto"/>
              <w:ind w:firstLine="360"/>
              <w:jc w:val="center"/>
              <w:rPr>
                <w:rFonts w:cs="宋体" w:asciiTheme="minorEastAsia" w:hAnsiTheme="minorEastAsia"/>
                <w:kern w:val="10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kern w:val="10"/>
                <w:sz w:val="21"/>
                <w:szCs w:val="21"/>
              </w:rPr>
              <w:t>蓝牙通信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93744">
            <w:pPr>
              <w:spacing w:line="360" w:lineRule="auto"/>
              <w:ind w:firstLine="360"/>
              <w:jc w:val="center"/>
              <w:rPr>
                <w:rFonts w:cs="宋体" w:asciiTheme="minorEastAsia" w:hAnsiTheme="minorEastAsia"/>
                <w:kern w:val="10"/>
                <w:sz w:val="21"/>
                <w:szCs w:val="21"/>
              </w:rPr>
            </w:pPr>
            <w:r>
              <w:rPr>
                <w:rFonts w:cs="TimesNewRomanPSMT" w:asciiTheme="minorEastAsia" w:hAnsiTheme="minorEastAsia"/>
                <w:kern w:val="0"/>
                <w:sz w:val="21"/>
                <w:szCs w:val="21"/>
              </w:rPr>
              <w:t xml:space="preserve">BLE 5.0 </w:t>
            </w:r>
            <w:r>
              <w:rPr>
                <w:rFonts w:hint="eastAsia" w:cs="宋体" w:asciiTheme="minorEastAsia" w:hAnsiTheme="minorEastAsia"/>
                <w:kern w:val="0"/>
                <w:sz w:val="21"/>
                <w:szCs w:val="21"/>
              </w:rPr>
              <w:t>协议</w:t>
            </w:r>
          </w:p>
        </w:tc>
      </w:tr>
      <w:tr w14:paraId="7A6C89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76C903">
            <w:pPr>
              <w:spacing w:line="360" w:lineRule="auto"/>
              <w:ind w:firstLine="210" w:firstLineChars="10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A7119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  <w:r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  <w:t>载波通信接口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89AF9">
            <w:pPr>
              <w:spacing w:line="360" w:lineRule="auto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 xml:space="preserve">        强电接口/外置天线接口</w:t>
            </w:r>
          </w:p>
          <w:p w14:paraId="2E125B82">
            <w:pPr>
              <w:rPr>
                <w:sz w:val="21"/>
                <w:szCs w:val="21"/>
              </w:rPr>
            </w:pPr>
          </w:p>
          <w:p w14:paraId="74A1B368">
            <w:pPr>
              <w:rPr>
                <w:sz w:val="21"/>
                <w:szCs w:val="21"/>
              </w:rPr>
            </w:pPr>
          </w:p>
        </w:tc>
      </w:tr>
      <w:tr w14:paraId="4EA09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</w:trPr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D583A4">
            <w:pPr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7FD87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通信协议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9F5F2">
            <w:pPr>
              <w:spacing w:line="276" w:lineRule="auto"/>
              <w:rPr>
                <w:rFonts w:ascii="宋体" w:hAnsi="宋体" w:cs="宋体"/>
                <w:kern w:val="10"/>
                <w:sz w:val="21"/>
                <w:szCs w:val="21"/>
              </w:rPr>
            </w:pPr>
            <w:r>
              <w:rPr>
                <w:rFonts w:ascii="宋体" w:hAnsi="宋体" w:cs="宋体"/>
                <w:kern w:val="10"/>
                <w:sz w:val="21"/>
                <w:szCs w:val="21"/>
              </w:rPr>
              <w:t>Q/GDW 1208743 2020</w:t>
            </w:r>
            <w:r>
              <w:rPr>
                <w:rFonts w:hint="eastAsia" w:ascii="宋体" w:hAnsi="宋体" w:cs="宋体"/>
                <w:kern w:val="10"/>
                <w:sz w:val="21"/>
                <w:szCs w:val="21"/>
              </w:rPr>
              <w:t>；Q/GDW 376.2；</w:t>
            </w:r>
          </w:p>
          <w:p w14:paraId="6DD9911A">
            <w:pPr>
              <w:spacing w:line="276" w:lineRule="auto"/>
              <w:rPr>
                <w:rFonts w:ascii="宋体" w:hAnsi="宋体" w:cs="宋体"/>
                <w:kern w:val="10"/>
                <w:sz w:val="21"/>
                <w:szCs w:val="21"/>
              </w:rPr>
            </w:pPr>
            <w:r>
              <w:rPr>
                <w:rFonts w:ascii="宋体" w:hAnsi="宋体" w:cs="宋体"/>
                <w:kern w:val="10"/>
                <w:sz w:val="21"/>
                <w:szCs w:val="21"/>
              </w:rPr>
              <w:t>DL/T645-2007；DL/T698.45</w:t>
            </w:r>
          </w:p>
        </w:tc>
      </w:tr>
      <w:tr w14:paraId="184C2A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exact"/>
        </w:trPr>
        <w:tc>
          <w:tcPr>
            <w:tcW w:w="1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458A4">
            <w:pPr>
              <w:widowControl/>
              <w:jc w:val="center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929FF">
            <w:pPr>
              <w:spacing w:line="360" w:lineRule="auto"/>
              <w:ind w:firstLine="360"/>
              <w:jc w:val="center"/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</w:pPr>
            <w:r>
              <w:rPr>
                <w:rFonts w:ascii="宋体" w:hAnsi="宋体" w:cs="宋体"/>
                <w:kern w:val="10"/>
                <w:sz w:val="21"/>
                <w:szCs w:val="21"/>
                <w:lang w:eastAsia="en-US" w:bidi="en-US"/>
              </w:rPr>
              <w:t>载波通信频段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D121A">
            <w:pPr>
              <w:spacing w:line="360" w:lineRule="auto"/>
              <w:jc w:val="left"/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频段0</w:t>
            </w:r>
            <w:r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  <w:t>:</w:t>
            </w: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2</w:t>
            </w:r>
            <w:r>
              <w:rPr>
                <w:rFonts w:hint="eastAsia" w:ascii="宋体" w:hAnsi="宋体" w:cs="宋体"/>
                <w:sz w:val="21"/>
                <w:szCs w:val="21"/>
              </w:rPr>
              <w:t>～12M</w:t>
            </w:r>
            <w:r>
              <w:rPr>
                <w:rFonts w:ascii="宋体" w:hAnsi="宋体" w:cs="宋体"/>
                <w:sz w:val="21"/>
                <w:szCs w:val="21"/>
              </w:rPr>
              <w:t>;</w:t>
            </w: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 xml:space="preserve"> </w:t>
            </w:r>
            <w:r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  <w:t xml:space="preserve">   </w:t>
            </w: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频段1</w:t>
            </w:r>
            <w:r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  <w:t>:</w:t>
            </w: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2</w:t>
            </w:r>
            <w:r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  <w:t>.4</w:t>
            </w:r>
            <w:r>
              <w:rPr>
                <w:rFonts w:hint="eastAsia" w:ascii="宋体" w:hAnsi="宋体" w:cs="宋体"/>
                <w:sz w:val="21"/>
                <w:szCs w:val="21"/>
              </w:rPr>
              <w:t>～5.6M</w:t>
            </w:r>
            <w:r>
              <w:rPr>
                <w:rFonts w:ascii="宋体" w:hAnsi="宋体" w:cs="宋体"/>
                <w:sz w:val="21"/>
                <w:szCs w:val="21"/>
              </w:rPr>
              <w:t>;</w:t>
            </w:r>
          </w:p>
          <w:p w14:paraId="5DBC350D">
            <w:pPr>
              <w:spacing w:line="360" w:lineRule="auto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频段2</w:t>
            </w:r>
            <w:r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  <w:t>:</w:t>
            </w: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0.</w:t>
            </w:r>
            <w:r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  <w:t>7</w:t>
            </w:r>
            <w:r>
              <w:rPr>
                <w:rFonts w:hint="eastAsia" w:ascii="宋体" w:hAnsi="宋体" w:cs="宋体"/>
                <w:sz w:val="21"/>
                <w:szCs w:val="21"/>
              </w:rPr>
              <w:t>～</w:t>
            </w:r>
            <w:r>
              <w:rPr>
                <w:rFonts w:ascii="宋体" w:hAnsi="宋体" w:cs="宋体"/>
                <w:sz w:val="21"/>
                <w:szCs w:val="21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M</w:t>
            </w:r>
            <w:r>
              <w:rPr>
                <w:rFonts w:ascii="宋体" w:hAnsi="宋体" w:cs="宋体"/>
                <w:sz w:val="21"/>
                <w:szCs w:val="21"/>
              </w:rPr>
              <w:t xml:space="preserve">;   </w:t>
            </w: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>频段3</w:t>
            </w:r>
            <w:r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  <w:t>:</w:t>
            </w:r>
            <w:r>
              <w:rPr>
                <w:rFonts w:hint="eastAsia" w:ascii="宋体" w:hAnsi="宋体" w:cs="宋体"/>
                <w:kern w:val="10"/>
                <w:sz w:val="21"/>
                <w:szCs w:val="21"/>
                <w:lang w:bidi="en-US"/>
              </w:rPr>
              <w:t xml:space="preserve"> 1.</w:t>
            </w:r>
            <w:r>
              <w:rPr>
                <w:rFonts w:ascii="宋体" w:hAnsi="宋体" w:cs="宋体"/>
                <w:kern w:val="10"/>
                <w:sz w:val="21"/>
                <w:szCs w:val="21"/>
                <w:lang w:bidi="en-US"/>
              </w:rPr>
              <w:t>7</w:t>
            </w:r>
            <w:r>
              <w:rPr>
                <w:rFonts w:hint="eastAsia" w:ascii="宋体" w:hAnsi="宋体" w:cs="宋体"/>
                <w:sz w:val="21"/>
                <w:szCs w:val="21"/>
              </w:rPr>
              <w:t>～</w:t>
            </w:r>
            <w:r>
              <w:rPr>
                <w:rFonts w:ascii="宋体" w:hAnsi="宋体" w:cs="宋体"/>
                <w:sz w:val="21"/>
                <w:szCs w:val="21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M</w:t>
            </w:r>
          </w:p>
        </w:tc>
      </w:tr>
    </w:tbl>
    <w:p w14:paraId="3CF84DB6"/>
    <w:p w14:paraId="1CCA1B48"/>
    <w:p w14:paraId="10855CAB"/>
    <w:p w14:paraId="6740D8D8"/>
    <w:p w14:paraId="3DCBD6AC"/>
    <w:p w14:paraId="4FF75628"/>
    <w:p w14:paraId="5EB115EB"/>
    <w:p w14:paraId="4AA2CCF6"/>
    <w:p w14:paraId="7924BDEF">
      <w:r>
        <w:br w:type="page"/>
      </w:r>
    </w:p>
    <w:p w14:paraId="34E7DD84">
      <w:pPr>
        <w:pStyle w:val="2"/>
        <w:numPr>
          <w:ilvl w:val="0"/>
          <w:numId w:val="0"/>
        </w:numPr>
        <w:spacing w:line="240" w:lineRule="auto"/>
        <w:ind w:leftChars="0"/>
        <w:rPr>
          <w:sz w:val="24"/>
          <w:szCs w:val="24"/>
        </w:rPr>
      </w:pPr>
      <w:bookmarkStart w:id="5" w:name="_Toc15827"/>
      <w:r>
        <w:rPr>
          <w:rFonts w:hint="eastAsia"/>
          <w:sz w:val="24"/>
          <w:szCs w:val="24"/>
          <w:lang w:val="en-US" w:eastAsia="zh-CN"/>
        </w:rPr>
        <w:t xml:space="preserve">4  </w:t>
      </w:r>
      <w:r>
        <w:rPr>
          <w:rFonts w:hint="eastAsia"/>
          <w:sz w:val="24"/>
          <w:szCs w:val="24"/>
        </w:rPr>
        <w:t>使用说明</w:t>
      </w:r>
      <w:bookmarkEnd w:id="5"/>
    </w:p>
    <w:p w14:paraId="50F3E275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GSM-TYCJ103采集故障识别仪功能有：1、数据抄读；2模块检测；3、通信分析；4、频段切换；5、衰减测试；6、电表搜索。现场根据需要选择相应功能，仪器开机后显示如下：</w:t>
      </w:r>
    </w:p>
    <w:p w14:paraId="01FB4ECD">
      <w:pPr>
        <w:ind w:firstLine="420"/>
        <w:rPr>
          <w:rFonts w:hint="default"/>
          <w:lang w:val="en-US" w:eastAsia="zh-CN"/>
        </w:rPr>
      </w:pPr>
    </w:p>
    <w:p w14:paraId="7AC85F35">
      <w:pPr>
        <w:ind w:firstLine="420"/>
        <w:jc w:val="center"/>
      </w:pPr>
      <w:r>
        <w:drawing>
          <wp:inline distT="0" distB="0" distL="114300" distR="114300">
            <wp:extent cx="1753235" cy="2631440"/>
            <wp:effectExtent l="0" t="0" r="1841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94263">
      <w:pPr>
        <w:spacing w:line="360" w:lineRule="auto"/>
        <w:jc w:val="both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注意事项：</w:t>
      </w:r>
    </w:p>
    <w:p w14:paraId="3ED7D316">
      <w:pPr>
        <w:spacing w:line="360" w:lineRule="auto"/>
        <w:ind w:firstLine="420"/>
        <w:jc w:val="both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当使用识别仪的模块检测及频段切换功能时，识别仪器无需接入强电。当使用</w:t>
      </w:r>
      <w:r>
        <w:rPr>
          <w:rFonts w:hint="eastAsia"/>
          <w:b/>
          <w:bCs/>
          <w:highlight w:val="none"/>
          <w:lang w:val="en-US" w:eastAsia="zh-CN"/>
        </w:rPr>
        <w:t>数据抄读、通信分析、衰减测试以及电表搜索</w:t>
      </w:r>
      <w:r>
        <w:rPr>
          <w:rFonts w:hint="eastAsia"/>
          <w:highlight w:val="none"/>
          <w:lang w:val="en-US" w:eastAsia="zh-CN"/>
        </w:rPr>
        <w:t>功能时，第一步需按照以下规范进行上电操作：</w:t>
      </w:r>
    </w:p>
    <w:p w14:paraId="1B5A137B">
      <w:pPr>
        <w:numPr>
          <w:ilvl w:val="0"/>
          <w:numId w:val="2"/>
        </w:numPr>
        <w:spacing w:line="360" w:lineRule="auto"/>
        <w:ind w:firstLine="420"/>
        <w:jc w:val="both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戴好绝缘手套。</w:t>
      </w:r>
    </w:p>
    <w:p w14:paraId="4326783E">
      <w:pPr>
        <w:numPr>
          <w:ilvl w:val="0"/>
          <w:numId w:val="2"/>
        </w:numPr>
        <w:spacing w:line="360" w:lineRule="auto"/>
        <w:ind w:firstLine="420"/>
        <w:jc w:val="both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在识别仪强电接口插入专用连接线。</w:t>
      </w:r>
    </w:p>
    <w:p w14:paraId="5835E2DD">
      <w:pPr>
        <w:numPr>
          <w:ilvl w:val="0"/>
          <w:numId w:val="2"/>
        </w:numPr>
        <w:spacing w:line="360" w:lineRule="auto"/>
        <w:ind w:firstLine="420"/>
        <w:jc w:val="both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黑色鳄鱼夹夹在被测点零线，红色鳄鱼夹夹在被测点火线。</w:t>
      </w:r>
    </w:p>
    <w:p w14:paraId="1AD46797">
      <w:pPr>
        <w:numPr>
          <w:ilvl w:val="0"/>
          <w:numId w:val="2"/>
        </w:numPr>
        <w:spacing w:line="360" w:lineRule="auto"/>
        <w:ind w:firstLine="420"/>
        <w:jc w:val="both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开机选择相应功能。</w:t>
      </w:r>
    </w:p>
    <w:p w14:paraId="74A0F18C">
      <w:pPr>
        <w:numPr>
          <w:ilvl w:val="0"/>
          <w:numId w:val="2"/>
        </w:numPr>
        <w:spacing w:line="360" w:lineRule="auto"/>
        <w:ind w:firstLine="420"/>
        <w:jc w:val="both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测试完毕，先取下红色鳄鱼夹，再取黑色鳄鱼夹。</w:t>
      </w:r>
    </w:p>
    <w:p w14:paraId="1E7BDC2D">
      <w:pPr>
        <w:pStyle w:val="3"/>
        <w:numPr>
          <w:ilvl w:val="1"/>
          <w:numId w:val="0"/>
        </w:numPr>
        <w:spacing w:line="360" w:lineRule="auto"/>
        <w:ind w:leftChars="0"/>
        <w:rPr>
          <w:sz w:val="21"/>
          <w:szCs w:val="21"/>
        </w:rPr>
      </w:pPr>
      <w:bookmarkStart w:id="6" w:name="_Toc15982"/>
      <w:r>
        <w:rPr>
          <w:rFonts w:hint="eastAsia"/>
          <w:sz w:val="21"/>
          <w:szCs w:val="21"/>
          <w:lang w:val="en-US" w:eastAsia="zh-CN"/>
        </w:rPr>
        <w:t>4.1数据抄读</w:t>
      </w:r>
      <w:bookmarkEnd w:id="6"/>
    </w:p>
    <w:p w14:paraId="0F9A26C8">
      <w:pPr>
        <w:spacing w:line="360" w:lineRule="auto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操作步骤</w:t>
      </w:r>
    </w:p>
    <w:p w14:paraId="4970B037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1、设备上电后，点击进入到</w:t>
      </w:r>
      <w:r>
        <w:rPr>
          <w:rFonts w:hint="eastAsia" w:ascii="宋体" w:hAnsi="宋体"/>
          <w:szCs w:val="21"/>
          <w:lang w:val="en-US" w:eastAsia="zh-CN"/>
        </w:rPr>
        <w:t>数据抄读</w:t>
      </w:r>
      <w:r>
        <w:rPr>
          <w:rFonts w:hint="eastAsia" w:ascii="宋体" w:hAnsi="宋体"/>
          <w:szCs w:val="21"/>
        </w:rPr>
        <w:t>界面，设备自动连接到现场电表抄表网络，用时一般在8-10秒左右。</w:t>
      </w:r>
    </w:p>
    <w:p w14:paraId="6DAD6EA2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2、网络连接成功后，输入表</w:t>
      </w:r>
      <w:r>
        <w:rPr>
          <w:rFonts w:hint="eastAsia" w:ascii="宋体" w:hAnsi="宋体"/>
          <w:szCs w:val="21"/>
          <w:lang w:val="en-US" w:eastAsia="zh-CN"/>
        </w:rPr>
        <w:t>地址</w:t>
      </w:r>
      <w:r>
        <w:rPr>
          <w:rFonts w:hint="eastAsia" w:ascii="宋体" w:hAnsi="宋体"/>
          <w:szCs w:val="21"/>
          <w:lang w:eastAsia="zh-CN"/>
        </w:rPr>
        <w:t>（</w:t>
      </w:r>
      <w:r>
        <w:rPr>
          <w:rFonts w:hint="eastAsia" w:ascii="宋体" w:hAnsi="宋体"/>
          <w:szCs w:val="21"/>
          <w:lang w:val="en-US" w:eastAsia="zh-CN"/>
        </w:rPr>
        <w:t>或者红外读取</w:t>
      </w:r>
      <w:r>
        <w:rPr>
          <w:rFonts w:hint="eastAsia" w:ascii="宋体" w:hAnsi="宋体"/>
          <w:szCs w:val="21"/>
          <w:lang w:eastAsia="zh-CN"/>
        </w:rPr>
        <w:t>）</w:t>
      </w:r>
      <w:r>
        <w:rPr>
          <w:rFonts w:hint="eastAsia" w:ascii="宋体" w:hAnsi="宋体"/>
          <w:szCs w:val="21"/>
        </w:rPr>
        <w:t>、选择电表通信协议、选择要抄的具体数据项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  <w:lang w:val="en-US" w:eastAsia="zh-CN"/>
        </w:rPr>
        <w:t>如当前电量、冻结电量、电压电流、日期时间、电表参数</w:t>
      </w:r>
      <w:r>
        <w:rPr>
          <w:rFonts w:hint="eastAsia" w:ascii="宋体" w:hAnsi="宋体"/>
          <w:szCs w:val="21"/>
        </w:rPr>
        <w:t>。</w:t>
      </w:r>
    </w:p>
    <w:p w14:paraId="74FF4596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3、点击开始通信，即可抄表。</w:t>
      </w:r>
    </w:p>
    <w:p w14:paraId="4737B2F4">
      <w:pPr>
        <w:spacing w:line="360" w:lineRule="auto"/>
        <w:rPr>
          <w:rFonts w:hint="eastAsia" w:ascii="宋体" w:hAnsi="宋体"/>
          <w:szCs w:val="21"/>
        </w:rPr>
      </w:pPr>
      <w:r>
        <w:drawing>
          <wp:inline distT="0" distB="0" distL="114300" distR="114300">
            <wp:extent cx="1678305" cy="2465705"/>
            <wp:effectExtent l="0" t="0" r="17145" b="1079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8305" cy="246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82115" cy="2468245"/>
            <wp:effectExtent l="0" t="0" r="13335" b="8255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211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52905" cy="2472055"/>
            <wp:effectExtent l="0" t="0" r="4445" b="444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29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42C1E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特别情况说明：</w:t>
      </w:r>
    </w:p>
    <w:p w14:paraId="50B78CC2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1）载波抄表网络连接默认频段为2频段，如网络连接失败，则需点开参数配置，检测现场电表运行在哪个频段。</w:t>
      </w:r>
    </w:p>
    <w:p w14:paraId="6149B47A">
      <w:pPr>
        <w:spacing w:line="240" w:lineRule="auto"/>
        <w:rPr>
          <w:rFonts w:hint="eastAsia" w:eastAsiaTheme="minorEastAsia"/>
          <w:lang w:eastAsia="zh-CN"/>
        </w:rPr>
      </w:pPr>
      <w:r>
        <w:rPr>
          <w:rFonts w:hint="eastAsia" w:ascii="宋体" w:hAnsi="宋体"/>
          <w:szCs w:val="21"/>
        </w:rPr>
        <w:t>2）如果某个电表多次抄表失败，可通过模块检测功能检测电表载波模块是否存在故障、检测电表入网情况来排除故障原因。</w:t>
      </w:r>
    </w:p>
    <w:p w14:paraId="1048076F">
      <w:pPr>
        <w:pStyle w:val="3"/>
        <w:numPr>
          <w:ilvl w:val="1"/>
          <w:numId w:val="0"/>
        </w:numPr>
        <w:spacing w:line="240" w:lineRule="auto"/>
        <w:ind w:leftChars="0"/>
        <w:rPr>
          <w:rFonts w:hint="default"/>
          <w:sz w:val="21"/>
          <w:szCs w:val="21"/>
          <w:highlight w:val="none"/>
          <w:lang w:val="en-US" w:eastAsia="zh-CN"/>
        </w:rPr>
      </w:pPr>
      <w:bookmarkStart w:id="7" w:name="_Toc23111"/>
      <w:r>
        <w:rPr>
          <w:rFonts w:hint="eastAsia"/>
          <w:sz w:val="21"/>
          <w:szCs w:val="21"/>
          <w:highlight w:val="none"/>
          <w:lang w:val="en-US" w:eastAsia="zh-CN"/>
        </w:rPr>
        <w:t>4.2模块检测</w:t>
      </w:r>
      <w:bookmarkEnd w:id="7"/>
    </w:p>
    <w:p w14:paraId="02D90C61">
      <w:pPr>
        <w:spacing w:line="240" w:lineRule="auto"/>
        <w:ind w:firstLine="420"/>
        <w:rPr>
          <w:rFonts w:hint="eastAsia"/>
          <w:lang w:val="en-US" w:eastAsia="zh-CN"/>
        </w:rPr>
      </w:pPr>
      <w:r>
        <w:rPr>
          <w:rFonts w:hint="eastAsia"/>
        </w:rPr>
        <w:t>该功能用来诊断</w:t>
      </w:r>
      <w:r>
        <w:rPr>
          <w:rFonts w:hint="eastAsia"/>
          <w:lang w:val="en-US" w:eastAsia="zh-CN"/>
        </w:rPr>
        <w:t>各个模块是否存在故障以及清空CCO白名单，具体功能有：STA模块故障诊断、CCO模块故障诊断</w:t>
      </w:r>
      <w:r>
        <w:rPr>
          <w:rFonts w:hint="eastAsia"/>
          <w:highlight w:val="none"/>
          <w:lang w:val="en-US" w:eastAsia="zh-CN"/>
        </w:rPr>
        <w:t>、清空CCO白名单、4G模块故障诊断。</w:t>
      </w:r>
    </w:p>
    <w:p w14:paraId="2903296D">
      <w:pPr>
        <w:spacing w:line="240" w:lineRule="auto"/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开机后，选择模块检测，点击左上角按钮展开各种检测功能，选择相应功能即可。以STA模块故障诊断为例，如下图所示：</w:t>
      </w:r>
    </w:p>
    <w:p w14:paraId="6264AB2C">
      <w:pPr>
        <w:spacing w:line="240" w:lineRule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1640840" cy="2479675"/>
            <wp:effectExtent l="0" t="0" r="16510" b="1587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4084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97990" cy="2483485"/>
            <wp:effectExtent l="0" t="0" r="16510" b="1206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9799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46555" cy="2475865"/>
            <wp:effectExtent l="0" t="0" r="10795" b="63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46555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30A52">
      <w:pPr>
        <w:spacing w:line="240" w:lineRule="auto"/>
        <w:ind w:firstLine="420"/>
        <w:rPr>
          <w:rFonts w:hint="default"/>
          <w:lang w:val="en-US" w:eastAsia="zh-CN"/>
        </w:rPr>
      </w:pPr>
    </w:p>
    <w:p w14:paraId="4F72A557">
      <w:pPr>
        <w:spacing w:line="240" w:lineRule="auto"/>
        <w:ind w:firstLine="422" w:firstLineChars="200"/>
        <w:rPr>
          <w:b/>
          <w:bCs/>
        </w:rPr>
      </w:pPr>
      <w:r>
        <w:rPr>
          <w:rFonts w:hint="eastAsia"/>
          <w:b/>
          <w:bCs/>
        </w:rPr>
        <w:t>操作步骤：</w:t>
      </w:r>
    </w:p>
    <w:p w14:paraId="7C3DCA53">
      <w:pPr>
        <w:spacing w:line="240" w:lineRule="auto"/>
      </w:pPr>
      <w:r>
        <w:rPr>
          <w:rFonts w:hint="eastAsia"/>
        </w:rPr>
        <w:t>第一步：将STA模块插接到对应接口中；</w:t>
      </w:r>
      <w:r>
        <w:t xml:space="preserve"> </w:t>
      </w:r>
    </w:p>
    <w:p w14:paraId="116AA105">
      <w:pPr>
        <w:spacing w:line="240" w:lineRule="auto"/>
      </w:pPr>
      <w:r>
        <w:rPr>
          <w:rFonts w:hint="eastAsia"/>
        </w:rPr>
        <w:t>第二步：设备开机，点击进入</w:t>
      </w:r>
      <w:r>
        <w:rPr>
          <w:rFonts w:hint="eastAsia"/>
          <w:lang w:val="en-US" w:eastAsia="zh-CN"/>
        </w:rPr>
        <w:t>模块检测</w:t>
      </w:r>
      <w:r>
        <w:rPr>
          <w:rFonts w:hint="eastAsia"/>
        </w:rPr>
        <w:t>，选择STA故障诊断，点击开始诊断;</w:t>
      </w:r>
    </w:p>
    <w:p w14:paraId="2410FE94">
      <w:pPr>
        <w:spacing w:line="240" w:lineRule="auto"/>
        <w:rPr>
          <w:rFonts w:hint="eastAsia"/>
          <w:lang w:eastAsia="zh-CN"/>
        </w:rPr>
      </w:pPr>
      <w:r>
        <w:rPr>
          <w:rFonts w:hint="eastAsia"/>
        </w:rPr>
        <w:t>第三步：判定结果，是否存在故障</w:t>
      </w:r>
      <w:r>
        <w:rPr>
          <w:rFonts w:hint="eastAsia"/>
          <w:lang w:eastAsia="zh-CN"/>
        </w:rPr>
        <w:t>。</w:t>
      </w:r>
    </w:p>
    <w:p w14:paraId="2041F9B6">
      <w:pPr>
        <w:spacing w:line="240" w:lineRule="auto"/>
        <w:rPr>
          <w:rFonts w:hint="eastAsia"/>
          <w:lang w:eastAsia="zh-CN"/>
        </w:rPr>
      </w:pPr>
    </w:p>
    <w:p w14:paraId="7D25C61E">
      <w:pPr>
        <w:spacing w:line="240" w:lineRule="auto"/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其他模块诊断方法参考以上操作。</w:t>
      </w:r>
    </w:p>
    <w:p w14:paraId="75E28E4F">
      <w:pPr>
        <w:pStyle w:val="3"/>
        <w:numPr>
          <w:ilvl w:val="1"/>
          <w:numId w:val="0"/>
        </w:numPr>
        <w:spacing w:line="240" w:lineRule="auto"/>
        <w:ind w:leftChars="0"/>
        <w:rPr>
          <w:rFonts w:hint="eastAsia"/>
          <w:sz w:val="21"/>
          <w:szCs w:val="21"/>
          <w:lang w:val="en-US" w:eastAsia="zh-CN"/>
        </w:rPr>
      </w:pPr>
      <w:bookmarkStart w:id="8" w:name="_Toc7918"/>
      <w:r>
        <w:rPr>
          <w:rFonts w:hint="eastAsia"/>
          <w:sz w:val="21"/>
          <w:szCs w:val="21"/>
          <w:lang w:val="en-US" w:eastAsia="zh-CN"/>
        </w:rPr>
        <w:t>4.3频段切换</w:t>
      </w:r>
      <w:bookmarkEnd w:id="8"/>
    </w:p>
    <w:p w14:paraId="124FC879">
      <w:pPr>
        <w:spacing w:line="360" w:lineRule="auto"/>
        <w:ind w:firstLine="422" w:firstLineChars="200"/>
        <w:rPr>
          <w:rFonts w:hint="eastAsia"/>
        </w:rPr>
      </w:pPr>
      <w:r>
        <w:rPr>
          <w:rFonts w:hint="eastAsia"/>
          <w:b/>
          <w:bCs/>
        </w:rPr>
        <w:t>功能介绍：</w:t>
      </w:r>
      <w:r>
        <w:rPr>
          <w:rFonts w:hint="eastAsia"/>
        </w:rPr>
        <w:t>在实际运行的台区中</w:t>
      </w:r>
      <w:r>
        <w:rPr>
          <w:rFonts w:hint="eastAsia"/>
          <w:highlight w:val="none"/>
        </w:rPr>
        <w:t>，存在多个</w:t>
      </w:r>
      <w:r>
        <w:rPr>
          <w:rFonts w:hint="eastAsia"/>
          <w:highlight w:val="none"/>
          <w:lang w:val="en-US" w:eastAsia="zh-CN"/>
        </w:rPr>
        <w:t>频段相同的</w:t>
      </w:r>
      <w:r>
        <w:rPr>
          <w:rFonts w:hint="eastAsia"/>
          <w:highlight w:val="none"/>
        </w:rPr>
        <w:t>网络，</w:t>
      </w:r>
      <w:r>
        <w:rPr>
          <w:rFonts w:hint="eastAsia"/>
        </w:rPr>
        <w:t>虽然HPLC通信具备冲突避让功能，但在节点数较多，多厂家混装的条件下可能导致网络阻塞影响采集成功率。该功能的作用就是可以将CCO运行频段进行切换，减少网络冲突。</w:t>
      </w:r>
    </w:p>
    <w:p w14:paraId="1C13DB05">
      <w:pPr>
        <w:spacing w:line="360" w:lineRule="auto"/>
        <w:ind w:firstLine="422" w:firstLineChars="200"/>
        <w:rPr>
          <w:b/>
          <w:bCs/>
        </w:rPr>
      </w:pPr>
      <w:r>
        <w:rPr>
          <w:rFonts w:hint="eastAsia"/>
          <w:b/>
          <w:bCs/>
        </w:rPr>
        <w:t>操作步骤：</w:t>
      </w:r>
    </w:p>
    <w:p w14:paraId="1386C6A8">
      <w:pPr>
        <w:spacing w:line="360" w:lineRule="auto"/>
      </w:pPr>
      <w:r>
        <w:rPr>
          <w:rFonts w:hint="eastAsia"/>
        </w:rPr>
        <w:t>第一步：将CCO模块插入对应接口中，</w:t>
      </w:r>
    </w:p>
    <w:p w14:paraId="3B22A11F">
      <w:pPr>
        <w:spacing w:line="360" w:lineRule="auto"/>
      </w:pPr>
      <w:r>
        <w:rPr>
          <w:rFonts w:hint="eastAsia"/>
        </w:rPr>
        <w:t>第二步：开机进入频段切换界面，可先查询当前运行频段，然后再点击设置频段即可切换频段。</w:t>
      </w:r>
    </w:p>
    <w:p w14:paraId="0B36474D">
      <w:pPr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如下图所示：</w:t>
      </w:r>
    </w:p>
    <w:p w14:paraId="64721078">
      <w:pPr>
        <w:rPr>
          <w:rFonts w:hint="eastAsia"/>
          <w:sz w:val="21"/>
          <w:szCs w:val="21"/>
          <w:lang w:val="en-US" w:eastAsia="zh-CN"/>
        </w:rPr>
      </w:pPr>
    </w:p>
    <w:p w14:paraId="227255C2">
      <w:pPr>
        <w:rPr>
          <w:rFonts w:hint="eastAsia" w:eastAsiaTheme="minorEastAsia"/>
          <w:sz w:val="21"/>
          <w:szCs w:val="21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1836420" cy="2754630"/>
            <wp:effectExtent l="0" t="0" r="11430" b="762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275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1837055" cy="2757170"/>
            <wp:effectExtent l="0" t="0" r="10795" b="508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37055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D709C">
      <w:pPr>
        <w:pStyle w:val="3"/>
        <w:numPr>
          <w:ilvl w:val="1"/>
          <w:numId w:val="0"/>
        </w:numPr>
        <w:spacing w:line="240" w:lineRule="auto"/>
        <w:ind w:leftChars="0"/>
        <w:rPr>
          <w:rFonts w:hint="default"/>
          <w:sz w:val="21"/>
          <w:szCs w:val="21"/>
          <w:lang w:val="en-US" w:eastAsia="zh-CN"/>
        </w:rPr>
      </w:pPr>
      <w:bookmarkStart w:id="9" w:name="_Toc29910"/>
      <w:r>
        <w:rPr>
          <w:rFonts w:hint="eastAsia"/>
          <w:sz w:val="21"/>
          <w:szCs w:val="21"/>
          <w:lang w:val="en-US" w:eastAsia="zh-CN"/>
        </w:rPr>
        <w:t>4.4通信分析</w:t>
      </w:r>
      <w:bookmarkEnd w:id="9"/>
    </w:p>
    <w:p w14:paraId="16895CF8">
      <w:pPr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功能简介：该功能用于现场通信故障分析，通过网络拓扑，网络层级等情况分析网络故障原因</w:t>
      </w:r>
      <w:r>
        <w:rPr>
          <w:rFonts w:hint="eastAsia"/>
          <w:sz w:val="21"/>
          <w:szCs w:val="21"/>
          <w:lang w:val="en-US" w:eastAsia="zh-CN"/>
        </w:rPr>
        <w:t>，</w:t>
      </w:r>
      <w:r>
        <w:rPr>
          <w:rFonts w:hint="default"/>
          <w:sz w:val="21"/>
          <w:szCs w:val="21"/>
          <w:lang w:val="en-US" w:eastAsia="zh-CN"/>
        </w:rPr>
        <w:t>该功能有一定的技术难度，使用者需具备一定的载波通信基础。功能包括：载波监控、入网监测、拓扑分析、</w:t>
      </w:r>
      <w:r>
        <w:rPr>
          <w:rFonts w:hint="eastAsia"/>
          <w:sz w:val="21"/>
          <w:szCs w:val="21"/>
          <w:lang w:val="en-US" w:eastAsia="zh-CN"/>
        </w:rPr>
        <w:t>抄表监测、多网络信息</w:t>
      </w:r>
      <w:r>
        <w:rPr>
          <w:rFonts w:hint="default"/>
          <w:sz w:val="21"/>
          <w:szCs w:val="21"/>
          <w:lang w:val="en-US" w:eastAsia="zh-CN"/>
        </w:rPr>
        <w:t>。</w:t>
      </w:r>
    </w:p>
    <w:p w14:paraId="094E77F0">
      <w:pPr>
        <w:spacing w:line="360" w:lineRule="auto"/>
        <w:outlineLvl w:val="2"/>
        <w:rPr>
          <w:rFonts w:hint="default"/>
          <w:b/>
          <w:bCs/>
          <w:sz w:val="21"/>
          <w:szCs w:val="21"/>
          <w:lang w:val="en-US" w:eastAsia="zh-CN"/>
        </w:rPr>
      </w:pPr>
      <w:bookmarkStart w:id="10" w:name="_Toc562"/>
      <w:r>
        <w:rPr>
          <w:rFonts w:hint="eastAsia"/>
          <w:b/>
          <w:bCs/>
          <w:sz w:val="21"/>
          <w:szCs w:val="21"/>
          <w:lang w:val="en-US" w:eastAsia="zh-CN"/>
        </w:rPr>
        <w:t>4</w:t>
      </w:r>
      <w:r>
        <w:rPr>
          <w:rFonts w:hint="default"/>
          <w:b/>
          <w:bCs/>
          <w:sz w:val="21"/>
          <w:szCs w:val="21"/>
          <w:lang w:val="en-US" w:eastAsia="zh-CN"/>
        </w:rPr>
        <w:t>.4.1载波监控</w:t>
      </w:r>
      <w:bookmarkEnd w:id="10"/>
    </w:p>
    <w:p w14:paraId="1B7C9223">
      <w:pPr>
        <w:spacing w:line="360" w:lineRule="auto"/>
        <w:ind w:firstLine="422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功能</w:t>
      </w:r>
      <w:r>
        <w:rPr>
          <w:rFonts w:hint="default"/>
          <w:b/>
          <w:bCs/>
          <w:sz w:val="21"/>
          <w:szCs w:val="21"/>
          <w:lang w:val="en-US" w:eastAsia="zh-CN"/>
        </w:rPr>
        <w:t>介绍</w:t>
      </w:r>
      <w:r>
        <w:rPr>
          <w:rFonts w:hint="default"/>
          <w:sz w:val="21"/>
          <w:szCs w:val="21"/>
          <w:lang w:val="en-US" w:eastAsia="zh-CN"/>
        </w:rPr>
        <w:t>：对电网所有电表数据包进行监控，并</w:t>
      </w:r>
      <w:r>
        <w:rPr>
          <w:rFonts w:hint="eastAsia"/>
          <w:sz w:val="21"/>
          <w:szCs w:val="21"/>
          <w:lang w:val="en-US" w:eastAsia="zh-CN"/>
        </w:rPr>
        <w:t>提取</w:t>
      </w:r>
      <w:r>
        <w:rPr>
          <w:rFonts w:hint="default"/>
          <w:sz w:val="21"/>
          <w:szCs w:val="21"/>
          <w:lang w:val="en-US" w:eastAsia="zh-CN"/>
        </w:rPr>
        <w:t>数据包关键信息，包括：电表表号、网络ID号、路由层级、信号强度</w:t>
      </w:r>
      <w:r>
        <w:rPr>
          <w:rFonts w:hint="eastAsia"/>
          <w:sz w:val="21"/>
          <w:szCs w:val="21"/>
          <w:lang w:val="en-US" w:eastAsia="zh-CN"/>
        </w:rPr>
        <w:t>等。</w:t>
      </w:r>
      <w:r>
        <w:rPr>
          <w:rFonts w:hint="default"/>
          <w:sz w:val="21"/>
          <w:szCs w:val="21"/>
          <w:lang w:val="en-US" w:eastAsia="zh-CN"/>
        </w:rPr>
        <w:t>该功能的作用</w:t>
      </w:r>
      <w:r>
        <w:rPr>
          <w:rFonts w:hint="eastAsia"/>
          <w:sz w:val="21"/>
          <w:szCs w:val="21"/>
          <w:lang w:val="en-US" w:eastAsia="zh-CN"/>
        </w:rPr>
        <w:t>有</w:t>
      </w:r>
      <w:r>
        <w:rPr>
          <w:rFonts w:hint="default"/>
          <w:sz w:val="21"/>
          <w:szCs w:val="21"/>
          <w:lang w:val="en-US" w:eastAsia="zh-CN"/>
        </w:rPr>
        <w:t>：</w:t>
      </w:r>
    </w:p>
    <w:p w14:paraId="18414B0F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1）监听周边电表表号、网络ID，了解电力线载波网络状态。</w:t>
      </w:r>
    </w:p>
    <w:p w14:paraId="6621ABF1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2）通过该功能可以了解到电表的路由层级，结合实际现场线路情况，可判断路由层级是否存在异常，针对性解决载波抄表异常问题。</w:t>
      </w:r>
    </w:p>
    <w:p w14:paraId="54654889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3）通过监听数据包的信号强度，可判断线路衰减情况及噪声情况。</w:t>
      </w:r>
    </w:p>
    <w:p w14:paraId="1F03009A">
      <w:pPr>
        <w:spacing w:line="360" w:lineRule="auto"/>
        <w:ind w:firstLine="422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t>操作步骤</w:t>
      </w:r>
      <w:r>
        <w:rPr>
          <w:rFonts w:hint="default"/>
          <w:sz w:val="21"/>
          <w:szCs w:val="21"/>
          <w:lang w:val="en-US" w:eastAsia="zh-CN"/>
        </w:rPr>
        <w:t>：</w:t>
      </w:r>
    </w:p>
    <w:p w14:paraId="492D607D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第一步：</w:t>
      </w:r>
      <w:r>
        <w:rPr>
          <w:rFonts w:hint="eastAsia"/>
          <w:sz w:val="21"/>
          <w:szCs w:val="21"/>
          <w:lang w:val="en-US" w:eastAsia="zh-CN"/>
        </w:rPr>
        <w:t>按第4节使用说明注意事项进行操作。（也可用天线接收）</w:t>
      </w:r>
    </w:p>
    <w:p w14:paraId="0927F85B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第二步：开机</w:t>
      </w:r>
      <w:r>
        <w:rPr>
          <w:rFonts w:hint="eastAsia"/>
          <w:sz w:val="21"/>
          <w:szCs w:val="21"/>
          <w:lang w:val="en-US" w:eastAsia="zh-CN"/>
        </w:rPr>
        <w:t>，</w:t>
      </w:r>
      <w:r>
        <w:rPr>
          <w:rFonts w:hint="default"/>
          <w:sz w:val="21"/>
          <w:szCs w:val="21"/>
          <w:lang w:val="en-US" w:eastAsia="zh-CN"/>
        </w:rPr>
        <w:t>进入通信分析界面，选择载波监控，点击开始监控，界面上会滚动出现载波信息。</w:t>
      </w:r>
    </w:p>
    <w:p w14:paraId="35656EDC">
      <w:pPr>
        <w:rPr>
          <w:rFonts w:hint="eastAsia"/>
          <w:lang w:val="en-US" w:eastAsia="zh-CN"/>
        </w:rPr>
      </w:pPr>
    </w:p>
    <w:p w14:paraId="7B963E05">
      <w:pPr>
        <w:rPr>
          <w:rFonts w:hint="eastAsia"/>
          <w:lang w:val="en-US" w:eastAsia="zh-CN"/>
        </w:rPr>
      </w:pPr>
    </w:p>
    <w:p w14:paraId="4C267A5C">
      <w:p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495425" cy="2217420"/>
            <wp:effectExtent l="0" t="0" r="9525" b="114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502410" cy="2220595"/>
            <wp:effectExtent l="0" t="0" r="2540" b="825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0241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1513205" cy="2228215"/>
            <wp:effectExtent l="0" t="0" r="10795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13205" cy="222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E5664">
      <w:pPr>
        <w:spacing w:line="360" w:lineRule="auto"/>
        <w:outlineLvl w:val="2"/>
        <w:rPr>
          <w:rFonts w:hint="default"/>
          <w:b/>
          <w:bCs/>
          <w:sz w:val="21"/>
          <w:szCs w:val="21"/>
          <w:lang w:val="en-US" w:eastAsia="zh-CN"/>
        </w:rPr>
      </w:pPr>
      <w:bookmarkStart w:id="11" w:name="_Toc31957"/>
      <w:r>
        <w:rPr>
          <w:rFonts w:hint="eastAsia"/>
          <w:b/>
          <w:bCs/>
          <w:sz w:val="21"/>
          <w:szCs w:val="21"/>
          <w:lang w:val="en-US" w:eastAsia="zh-CN"/>
        </w:rPr>
        <w:t>4</w:t>
      </w:r>
      <w:r>
        <w:rPr>
          <w:rFonts w:hint="default"/>
          <w:b/>
          <w:bCs/>
          <w:sz w:val="21"/>
          <w:szCs w:val="21"/>
          <w:lang w:val="en-US" w:eastAsia="zh-CN"/>
        </w:rPr>
        <w:t>.4.2入网监测</w:t>
      </w:r>
      <w:bookmarkEnd w:id="11"/>
    </w:p>
    <w:p w14:paraId="20346124">
      <w:pPr>
        <w:spacing w:line="360" w:lineRule="auto"/>
        <w:ind w:firstLine="422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功能</w:t>
      </w:r>
      <w:r>
        <w:rPr>
          <w:rFonts w:hint="default"/>
          <w:b/>
          <w:bCs/>
          <w:sz w:val="21"/>
          <w:szCs w:val="21"/>
          <w:lang w:val="en-US" w:eastAsia="zh-CN"/>
        </w:rPr>
        <w:t>介绍</w:t>
      </w:r>
      <w:r>
        <w:rPr>
          <w:rFonts w:hint="default"/>
          <w:sz w:val="21"/>
          <w:szCs w:val="21"/>
          <w:lang w:val="en-US" w:eastAsia="zh-CN"/>
        </w:rPr>
        <w:t>：入网监测是针对性监测某块电表的入网过程，判断入网是否存在问题。</w:t>
      </w:r>
    </w:p>
    <w:p w14:paraId="23CE4BCF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该功能作用主要有：</w:t>
      </w:r>
      <w:r>
        <w:rPr>
          <w:rFonts w:hint="default"/>
          <w:sz w:val="21"/>
          <w:szCs w:val="21"/>
          <w:lang w:val="en-US" w:eastAsia="zh-CN"/>
        </w:rPr>
        <w:t>1）判断电表入网失败原因，如电表表号</w:t>
      </w:r>
      <w:r>
        <w:rPr>
          <w:rFonts w:hint="eastAsia"/>
          <w:sz w:val="21"/>
          <w:szCs w:val="21"/>
          <w:lang w:val="en-US" w:eastAsia="zh-CN"/>
        </w:rPr>
        <w:t>是否</w:t>
      </w:r>
      <w:r>
        <w:rPr>
          <w:rFonts w:hint="default"/>
          <w:sz w:val="21"/>
          <w:szCs w:val="21"/>
          <w:lang w:val="en-US" w:eastAsia="zh-CN"/>
        </w:rPr>
        <w:t>在白名单中。2）了解电表是否错网，入到别的网络导致抄表失败。3）了解模块的相关信息，如厂家方案、软件版本号等。</w:t>
      </w:r>
    </w:p>
    <w:p w14:paraId="0B75F8AC">
      <w:pPr>
        <w:spacing w:line="360" w:lineRule="auto"/>
        <w:ind w:firstLine="422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t>操作步骤</w:t>
      </w:r>
      <w:r>
        <w:rPr>
          <w:rFonts w:hint="default"/>
          <w:sz w:val="21"/>
          <w:szCs w:val="21"/>
          <w:lang w:val="en-US" w:eastAsia="zh-CN"/>
        </w:rPr>
        <w:t>：</w:t>
      </w:r>
    </w:p>
    <w:p w14:paraId="6400CE3F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第一步：</w:t>
      </w:r>
      <w:r>
        <w:rPr>
          <w:rFonts w:hint="eastAsia"/>
          <w:sz w:val="21"/>
          <w:szCs w:val="21"/>
          <w:lang w:val="en-US" w:eastAsia="zh-CN"/>
        </w:rPr>
        <w:t>按第4节使用说明注意事项进行操作。（也可用天线接收）</w:t>
      </w:r>
    </w:p>
    <w:p w14:paraId="5B7B36DF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第二步：开机进入通信分析界面，选择入网监测，输入监测点的电表表号，点击开始监测。</w:t>
      </w:r>
    </w:p>
    <w:p w14:paraId="69E7070E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第三步：在监测状态下，将电表模块重新插接，监测电表入网情况。</w:t>
      </w:r>
    </w:p>
    <w:p w14:paraId="4CD759AE">
      <w:pPr>
        <w:spacing w:line="360" w:lineRule="auto"/>
        <w:outlineLvl w:val="2"/>
        <w:rPr>
          <w:rFonts w:hint="default"/>
          <w:b/>
          <w:bCs/>
          <w:sz w:val="21"/>
          <w:szCs w:val="21"/>
          <w:lang w:val="en-US" w:eastAsia="zh-CN"/>
        </w:rPr>
      </w:pPr>
      <w:bookmarkStart w:id="12" w:name="_Toc29945"/>
      <w:r>
        <w:rPr>
          <w:rFonts w:hint="eastAsia"/>
          <w:b/>
          <w:bCs/>
          <w:sz w:val="21"/>
          <w:szCs w:val="21"/>
          <w:lang w:val="en-US" w:eastAsia="zh-CN"/>
        </w:rPr>
        <w:t>4</w:t>
      </w:r>
      <w:r>
        <w:rPr>
          <w:rFonts w:hint="default"/>
          <w:b/>
          <w:bCs/>
          <w:sz w:val="21"/>
          <w:szCs w:val="21"/>
          <w:lang w:val="en-US" w:eastAsia="zh-CN"/>
        </w:rPr>
        <w:t>.4.3拓扑分析</w:t>
      </w:r>
      <w:bookmarkEnd w:id="12"/>
    </w:p>
    <w:p w14:paraId="7AB764C2">
      <w:pPr>
        <w:spacing w:line="360" w:lineRule="auto"/>
        <w:ind w:firstLine="422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功能</w:t>
      </w:r>
      <w:r>
        <w:rPr>
          <w:rFonts w:hint="default"/>
          <w:b/>
          <w:bCs/>
          <w:sz w:val="21"/>
          <w:szCs w:val="21"/>
          <w:lang w:val="en-US" w:eastAsia="zh-CN"/>
        </w:rPr>
        <w:t>介绍</w:t>
      </w:r>
      <w:r>
        <w:rPr>
          <w:rFonts w:hint="default"/>
          <w:sz w:val="21"/>
          <w:szCs w:val="21"/>
          <w:lang w:val="en-US" w:eastAsia="zh-CN"/>
        </w:rPr>
        <w:t>：拓扑分析是指通过图形化方式，将载波通信路由</w:t>
      </w:r>
      <w:r>
        <w:rPr>
          <w:rFonts w:hint="eastAsia"/>
          <w:sz w:val="21"/>
          <w:szCs w:val="21"/>
          <w:lang w:val="en-US" w:eastAsia="zh-CN"/>
        </w:rPr>
        <w:t>以</w:t>
      </w:r>
      <w:r>
        <w:rPr>
          <w:rFonts w:hint="default"/>
          <w:sz w:val="21"/>
          <w:szCs w:val="21"/>
          <w:lang w:val="en-US" w:eastAsia="zh-CN"/>
        </w:rPr>
        <w:t>拓扑方式展示</w:t>
      </w:r>
      <w:r>
        <w:rPr>
          <w:rFonts w:hint="eastAsia"/>
          <w:sz w:val="21"/>
          <w:szCs w:val="21"/>
          <w:lang w:val="en-US" w:eastAsia="zh-CN"/>
        </w:rPr>
        <w:t>出来</w:t>
      </w:r>
      <w:r>
        <w:rPr>
          <w:rFonts w:hint="default"/>
          <w:sz w:val="21"/>
          <w:szCs w:val="21"/>
          <w:lang w:val="en-US" w:eastAsia="zh-CN"/>
        </w:rPr>
        <w:t>，并将相关的如路径成功率、上级路由电表表号以及各层级邻居电表数量进行展示。</w:t>
      </w:r>
      <w:r>
        <w:rPr>
          <w:rFonts w:hint="eastAsia"/>
          <w:sz w:val="21"/>
          <w:szCs w:val="21"/>
          <w:lang w:val="en-US" w:eastAsia="zh-CN"/>
        </w:rPr>
        <w:t>该</w:t>
      </w:r>
      <w:r>
        <w:rPr>
          <w:rFonts w:hint="default"/>
          <w:sz w:val="21"/>
          <w:szCs w:val="21"/>
          <w:lang w:val="en-US" w:eastAsia="zh-CN"/>
        </w:rPr>
        <w:t>功能可直观的看到被测电表的路由拓扑结构，并知道被测点的通信成功率以及被测点上级代理的表号</w:t>
      </w:r>
      <w:r>
        <w:rPr>
          <w:rFonts w:hint="eastAsia"/>
          <w:sz w:val="21"/>
          <w:szCs w:val="21"/>
          <w:lang w:val="en-US" w:eastAsia="zh-CN"/>
        </w:rPr>
        <w:t>，</w:t>
      </w:r>
      <w:r>
        <w:rPr>
          <w:rFonts w:hint="default"/>
          <w:sz w:val="21"/>
          <w:szCs w:val="21"/>
          <w:lang w:val="en-US" w:eastAsia="zh-CN"/>
        </w:rPr>
        <w:t>可以帮助调试人员快速定位出抄表故障薄弱环节</w:t>
      </w:r>
      <w:r>
        <w:rPr>
          <w:rFonts w:hint="eastAsia"/>
          <w:sz w:val="21"/>
          <w:szCs w:val="21"/>
          <w:lang w:val="en-US" w:eastAsia="zh-CN"/>
        </w:rPr>
        <w:t>，以便采取相应</w:t>
      </w:r>
      <w:r>
        <w:rPr>
          <w:rFonts w:hint="default"/>
          <w:sz w:val="21"/>
          <w:szCs w:val="21"/>
          <w:lang w:val="en-US" w:eastAsia="zh-CN"/>
        </w:rPr>
        <w:t>手段提升薄弱环节的抄表成功率。</w:t>
      </w:r>
    </w:p>
    <w:p w14:paraId="326116B4">
      <w:pPr>
        <w:spacing w:line="360" w:lineRule="auto"/>
        <w:ind w:firstLine="422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t>操作步骤</w:t>
      </w:r>
      <w:r>
        <w:rPr>
          <w:rFonts w:hint="default"/>
          <w:sz w:val="21"/>
          <w:szCs w:val="21"/>
          <w:lang w:val="en-US" w:eastAsia="zh-CN"/>
        </w:rPr>
        <w:t>：</w:t>
      </w:r>
    </w:p>
    <w:p w14:paraId="0AE1E8F8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highlight w:val="none"/>
          <w:lang w:val="en-US" w:eastAsia="zh-CN"/>
        </w:rPr>
        <w:t>第一步：</w:t>
      </w:r>
      <w:r>
        <w:rPr>
          <w:rFonts w:hint="eastAsia"/>
          <w:sz w:val="21"/>
          <w:szCs w:val="21"/>
          <w:lang w:val="en-US" w:eastAsia="zh-CN"/>
        </w:rPr>
        <w:t>按第4节使用说明注意事项进行操作。</w:t>
      </w:r>
    </w:p>
    <w:p w14:paraId="34D73BB9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第二步：开机进入通信分析界面，选择拓扑分析，点击开始监测，监听到网络信息后，界面将出现该电表的拓扑图。</w:t>
      </w:r>
    </w:p>
    <w:p w14:paraId="697EA29B">
      <w:pPr>
        <w:rPr>
          <w:rFonts w:hint="default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1647825" cy="2443480"/>
            <wp:effectExtent l="0" t="0" r="9525" b="1397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4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661160" cy="2455545"/>
            <wp:effectExtent l="0" t="0" r="15240" b="190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654810" cy="2452370"/>
            <wp:effectExtent l="0" t="0" r="2540" b="508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245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D5EA7">
      <w:pPr>
        <w:spacing w:line="360" w:lineRule="auto"/>
        <w:outlineLvl w:val="2"/>
        <w:rPr>
          <w:rFonts w:hint="default"/>
          <w:b/>
          <w:bCs/>
          <w:sz w:val="21"/>
          <w:szCs w:val="21"/>
          <w:lang w:val="en-US" w:eastAsia="zh-CN"/>
        </w:rPr>
      </w:pPr>
      <w:bookmarkStart w:id="13" w:name="_Toc9174"/>
      <w:r>
        <w:rPr>
          <w:rFonts w:hint="eastAsia"/>
          <w:b/>
          <w:bCs/>
          <w:sz w:val="21"/>
          <w:szCs w:val="21"/>
          <w:lang w:val="en-US" w:eastAsia="zh-CN"/>
        </w:rPr>
        <w:t>4</w:t>
      </w:r>
      <w:r>
        <w:rPr>
          <w:rFonts w:hint="default"/>
          <w:b/>
          <w:bCs/>
          <w:sz w:val="21"/>
          <w:szCs w:val="21"/>
          <w:lang w:val="en-US" w:eastAsia="zh-CN"/>
        </w:rPr>
        <w:t>.4.4抄表监测</w:t>
      </w:r>
      <w:bookmarkEnd w:id="13"/>
    </w:p>
    <w:p w14:paraId="0806380A">
      <w:pPr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功能</w:t>
      </w:r>
      <w:r>
        <w:rPr>
          <w:rFonts w:hint="eastAsia"/>
          <w:sz w:val="21"/>
          <w:szCs w:val="21"/>
          <w:lang w:val="en-US" w:eastAsia="zh-CN"/>
        </w:rPr>
        <w:t>介绍</w:t>
      </w:r>
      <w:r>
        <w:rPr>
          <w:rFonts w:hint="default"/>
          <w:sz w:val="21"/>
          <w:szCs w:val="21"/>
          <w:lang w:val="en-US" w:eastAsia="zh-CN"/>
        </w:rPr>
        <w:t>：该功能用来监测集中器或电表数据交互流程是否正常，判断抄表失败原因，是集中器没发出数据帧，还是电表没收到，确定故障原因。选配外置的数据记录模块，可以定点长期监测集中器抄表流程是否存在异常。</w:t>
      </w:r>
    </w:p>
    <w:p w14:paraId="500B8BB3">
      <w:pPr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操作步骤：</w:t>
      </w:r>
    </w:p>
    <w:p w14:paraId="33EF4752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第一步：</w:t>
      </w:r>
      <w:r>
        <w:rPr>
          <w:rFonts w:hint="eastAsia"/>
          <w:sz w:val="21"/>
          <w:szCs w:val="21"/>
          <w:lang w:val="en-US" w:eastAsia="zh-CN"/>
        </w:rPr>
        <w:t>按第4节使用说明注意事项进行操作。</w:t>
      </w:r>
    </w:p>
    <w:p w14:paraId="495CEF73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第二步：开机进入通信分析界面，选择抄表监测，输入被测电表表号后，点击开始监测，当收到抄表业务帧后界面将显示抄表业务内容。</w:t>
      </w:r>
    </w:p>
    <w:p w14:paraId="6BB315FD">
      <w:pPr>
        <w:spacing w:line="360" w:lineRule="auto"/>
        <w:outlineLvl w:val="2"/>
        <w:rPr>
          <w:rFonts w:hint="eastAsia"/>
          <w:b/>
          <w:bCs/>
          <w:sz w:val="21"/>
          <w:szCs w:val="21"/>
          <w:highlight w:val="none"/>
          <w:lang w:val="en-US" w:eastAsia="zh-CN"/>
        </w:rPr>
      </w:pPr>
      <w:bookmarkStart w:id="14" w:name="_Toc8982"/>
      <w:r>
        <w:rPr>
          <w:rFonts w:hint="eastAsia"/>
          <w:b/>
          <w:bCs/>
          <w:sz w:val="21"/>
          <w:szCs w:val="21"/>
          <w:highlight w:val="none"/>
          <w:lang w:val="en-US" w:eastAsia="zh-CN"/>
        </w:rPr>
        <w:t>4.4.5多网络信息</w:t>
      </w:r>
      <w:bookmarkEnd w:id="14"/>
    </w:p>
    <w:p w14:paraId="35427785">
      <w:pPr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功能</w:t>
      </w:r>
      <w:r>
        <w:rPr>
          <w:rFonts w:hint="eastAsia"/>
          <w:sz w:val="21"/>
          <w:szCs w:val="21"/>
          <w:lang w:val="en-US" w:eastAsia="zh-CN"/>
        </w:rPr>
        <w:t>介绍</w:t>
      </w:r>
      <w:r>
        <w:rPr>
          <w:rFonts w:hint="default"/>
          <w:sz w:val="21"/>
          <w:szCs w:val="21"/>
          <w:lang w:val="en-US" w:eastAsia="zh-CN"/>
        </w:rPr>
        <w:t>：该功能用来监听接入位置的网络数量情况，各个网络的主节点地址及NID。</w:t>
      </w:r>
    </w:p>
    <w:p w14:paraId="6255BCD1">
      <w:pPr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操作步骤：</w:t>
      </w:r>
    </w:p>
    <w:p w14:paraId="751ADE5F">
      <w:pPr>
        <w:spacing w:line="36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highlight w:val="none"/>
          <w:lang w:val="en-US" w:eastAsia="zh-CN"/>
        </w:rPr>
        <w:t>第一步：</w:t>
      </w:r>
      <w:r>
        <w:rPr>
          <w:rFonts w:hint="eastAsia"/>
          <w:sz w:val="21"/>
          <w:szCs w:val="21"/>
          <w:lang w:val="en-US" w:eastAsia="zh-CN"/>
        </w:rPr>
        <w:t>按第4节使用说明注意事项进行操作。</w:t>
      </w:r>
    </w:p>
    <w:p w14:paraId="16176A08">
      <w:pPr>
        <w:spacing w:line="360" w:lineRule="auto"/>
        <w:rPr>
          <w:rFonts w:hint="eastAsia"/>
          <w:sz w:val="21"/>
          <w:szCs w:val="21"/>
          <w:highlight w:val="none"/>
          <w:lang w:val="en-US" w:eastAsia="zh-CN"/>
        </w:rPr>
      </w:pPr>
      <w:r>
        <w:rPr>
          <w:rFonts w:hint="default"/>
          <w:sz w:val="21"/>
          <w:szCs w:val="21"/>
          <w:highlight w:val="none"/>
          <w:lang w:val="en-US" w:eastAsia="zh-CN"/>
        </w:rPr>
        <w:t>第二步：开机进入通信分析界面，选择</w:t>
      </w:r>
      <w:r>
        <w:rPr>
          <w:rFonts w:hint="eastAsia"/>
          <w:sz w:val="21"/>
          <w:szCs w:val="21"/>
          <w:highlight w:val="none"/>
          <w:lang w:val="en-US" w:eastAsia="zh-CN"/>
        </w:rPr>
        <w:t>多网络信息</w:t>
      </w:r>
      <w:r>
        <w:rPr>
          <w:rFonts w:hint="default"/>
          <w:sz w:val="21"/>
          <w:szCs w:val="21"/>
          <w:highlight w:val="none"/>
          <w:lang w:val="en-US" w:eastAsia="zh-CN"/>
        </w:rPr>
        <w:t>，点击开始监测</w:t>
      </w:r>
      <w:r>
        <w:rPr>
          <w:rFonts w:hint="eastAsia"/>
          <w:sz w:val="21"/>
          <w:szCs w:val="21"/>
          <w:highlight w:val="none"/>
          <w:lang w:val="en-US" w:eastAsia="zh-CN"/>
        </w:rPr>
        <w:t>。</w:t>
      </w:r>
    </w:p>
    <w:p w14:paraId="0EBCD4C0">
      <w:pPr>
        <w:pStyle w:val="3"/>
        <w:numPr>
          <w:ilvl w:val="1"/>
          <w:numId w:val="0"/>
        </w:numPr>
        <w:spacing w:line="360" w:lineRule="auto"/>
        <w:ind w:leftChars="0"/>
        <w:rPr>
          <w:rFonts w:hint="eastAsia"/>
          <w:sz w:val="21"/>
          <w:szCs w:val="21"/>
          <w:highlight w:val="none"/>
          <w:lang w:val="en-US" w:eastAsia="zh-CN"/>
        </w:rPr>
      </w:pPr>
      <w:bookmarkStart w:id="15" w:name="_Toc19652"/>
      <w:r>
        <w:rPr>
          <w:rFonts w:hint="eastAsia"/>
          <w:sz w:val="21"/>
          <w:szCs w:val="21"/>
          <w:highlight w:val="none"/>
          <w:lang w:val="en-US" w:eastAsia="zh-CN"/>
        </w:rPr>
        <w:t>4.5 衰减测试</w:t>
      </w:r>
      <w:bookmarkEnd w:id="15"/>
    </w:p>
    <w:p w14:paraId="162A625B">
      <w:pPr>
        <w:spacing w:line="360" w:lineRule="auto"/>
        <w:ind w:firstLine="42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通过主机发送测试信号，从机接收信号的方式，检测信号在传输过程中的衰减情况。</w:t>
      </w:r>
    </w:p>
    <w:p w14:paraId="70A85B2E">
      <w:pPr>
        <w:spacing w:line="360" w:lineRule="auto"/>
        <w:ind w:firstLine="422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t>操作步骤：</w:t>
      </w:r>
    </w:p>
    <w:p w14:paraId="65AE8EF6">
      <w:pPr>
        <w:spacing w:line="360" w:lineRule="auto"/>
        <w:rPr>
          <w:rFonts w:hint="default"/>
          <w:sz w:val="21"/>
          <w:szCs w:val="21"/>
          <w:highlight w:val="none"/>
          <w:lang w:val="en-US" w:eastAsia="zh-CN"/>
        </w:rPr>
      </w:pPr>
      <w:r>
        <w:rPr>
          <w:rFonts w:hint="default"/>
          <w:sz w:val="21"/>
          <w:szCs w:val="21"/>
          <w:highlight w:val="none"/>
          <w:lang w:val="en-US" w:eastAsia="zh-CN"/>
        </w:rPr>
        <w:t>第一步：</w:t>
      </w:r>
      <w:r>
        <w:rPr>
          <w:rFonts w:hint="eastAsia"/>
          <w:sz w:val="21"/>
          <w:szCs w:val="21"/>
          <w:lang w:val="en-US" w:eastAsia="zh-CN"/>
        </w:rPr>
        <w:t>按第4节使用说明注意事项进行操作。</w:t>
      </w:r>
    </w:p>
    <w:p w14:paraId="54304DBD">
      <w:pPr>
        <w:spacing w:line="360" w:lineRule="auto"/>
        <w:rPr>
          <w:rFonts w:hint="eastAsia"/>
          <w:sz w:val="21"/>
          <w:szCs w:val="21"/>
          <w:highlight w:val="none"/>
          <w:lang w:val="en-US" w:eastAsia="zh-CN"/>
        </w:rPr>
      </w:pPr>
      <w:r>
        <w:rPr>
          <w:rFonts w:hint="default"/>
          <w:sz w:val="21"/>
          <w:szCs w:val="21"/>
          <w:highlight w:val="none"/>
          <w:lang w:val="en-US" w:eastAsia="zh-CN"/>
        </w:rPr>
        <w:t>第二步：开机进入</w:t>
      </w:r>
      <w:r>
        <w:rPr>
          <w:rFonts w:hint="eastAsia"/>
          <w:sz w:val="21"/>
          <w:szCs w:val="21"/>
          <w:highlight w:val="none"/>
          <w:lang w:val="en-US" w:eastAsia="zh-CN"/>
        </w:rPr>
        <w:t>衰减测试</w:t>
      </w:r>
      <w:r>
        <w:rPr>
          <w:rFonts w:hint="default"/>
          <w:sz w:val="21"/>
          <w:szCs w:val="21"/>
          <w:highlight w:val="none"/>
          <w:lang w:val="en-US" w:eastAsia="zh-CN"/>
        </w:rPr>
        <w:t>界面，</w:t>
      </w:r>
      <w:r>
        <w:rPr>
          <w:rFonts w:hint="eastAsia"/>
          <w:sz w:val="21"/>
          <w:szCs w:val="21"/>
          <w:highlight w:val="none"/>
          <w:lang w:val="en-US" w:eastAsia="zh-CN"/>
        </w:rPr>
        <w:t>主机选择测试主机按钮，从机则选择测试从机按钮，点击开始测试。</w:t>
      </w:r>
    </w:p>
    <w:p w14:paraId="3BB04D94">
      <w:pPr>
        <w:rPr>
          <w:rFonts w:hint="eastAsia" w:eastAsiaTheme="minorEastAsia"/>
          <w:sz w:val="21"/>
          <w:szCs w:val="21"/>
          <w:highlight w:val="none"/>
          <w:lang w:val="en-US" w:eastAsia="zh-CN"/>
        </w:rPr>
      </w:pPr>
      <w:r>
        <w:drawing>
          <wp:inline distT="0" distB="0" distL="114300" distR="114300">
            <wp:extent cx="1692275" cy="2522220"/>
            <wp:effectExtent l="0" t="0" r="3175" b="1143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86560" cy="2521585"/>
            <wp:effectExtent l="0" t="0" r="8890" b="12065"/>
            <wp:docPr id="2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98625" cy="2519045"/>
            <wp:effectExtent l="0" t="0" r="15875" b="14605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98625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43318">
      <w:pPr>
        <w:pStyle w:val="3"/>
        <w:numPr>
          <w:ilvl w:val="1"/>
          <w:numId w:val="0"/>
        </w:numPr>
        <w:spacing w:line="240" w:lineRule="auto"/>
        <w:ind w:leftChars="0"/>
        <w:rPr>
          <w:rFonts w:hint="eastAsia"/>
          <w:sz w:val="21"/>
          <w:szCs w:val="21"/>
          <w:lang w:val="en-US" w:eastAsia="zh-CN"/>
        </w:rPr>
      </w:pPr>
      <w:bookmarkStart w:id="16" w:name="_Toc14496"/>
      <w:r>
        <w:rPr>
          <w:rFonts w:hint="eastAsia"/>
          <w:sz w:val="21"/>
          <w:szCs w:val="21"/>
          <w:lang w:val="en-US" w:eastAsia="zh-CN"/>
        </w:rPr>
        <w:t>4.6 电表搜索</w:t>
      </w:r>
      <w:bookmarkEnd w:id="16"/>
    </w:p>
    <w:p w14:paraId="7D59CC70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该功能用于搜索在网电表。</w:t>
      </w:r>
    </w:p>
    <w:p w14:paraId="3CD2DCE4">
      <w:pPr>
        <w:spacing w:line="360" w:lineRule="auto"/>
        <w:ind w:firstLine="422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t>操作步骤：</w:t>
      </w:r>
    </w:p>
    <w:p w14:paraId="344BF06E">
      <w:pPr>
        <w:spacing w:line="360" w:lineRule="auto"/>
        <w:rPr>
          <w:rFonts w:hint="default"/>
          <w:sz w:val="21"/>
          <w:szCs w:val="21"/>
          <w:highlight w:val="none"/>
          <w:lang w:val="en-US" w:eastAsia="zh-CN"/>
        </w:rPr>
      </w:pPr>
      <w:r>
        <w:rPr>
          <w:rFonts w:hint="default"/>
          <w:sz w:val="21"/>
          <w:szCs w:val="21"/>
          <w:highlight w:val="none"/>
          <w:lang w:val="en-US" w:eastAsia="zh-CN"/>
        </w:rPr>
        <w:t>第一步：</w:t>
      </w:r>
      <w:r>
        <w:rPr>
          <w:rFonts w:hint="eastAsia"/>
          <w:sz w:val="21"/>
          <w:szCs w:val="21"/>
          <w:lang w:val="en-US" w:eastAsia="zh-CN"/>
        </w:rPr>
        <w:t>按第4节使用说明注意事项进行操作。</w:t>
      </w:r>
      <w:r>
        <w:rPr>
          <w:rFonts w:hint="default"/>
          <w:sz w:val="21"/>
          <w:szCs w:val="21"/>
          <w:highlight w:val="none"/>
          <w:lang w:val="en-US" w:eastAsia="zh-CN"/>
        </w:rPr>
        <w:t>（</w:t>
      </w:r>
      <w:r>
        <w:rPr>
          <w:rFonts w:hint="eastAsia"/>
          <w:sz w:val="21"/>
          <w:szCs w:val="21"/>
          <w:highlight w:val="none"/>
          <w:lang w:val="en-US" w:eastAsia="zh-CN"/>
        </w:rPr>
        <w:t>也可以</w:t>
      </w:r>
      <w:r>
        <w:rPr>
          <w:rFonts w:hint="default"/>
          <w:sz w:val="21"/>
          <w:szCs w:val="21"/>
          <w:highlight w:val="none"/>
          <w:lang w:val="en-US" w:eastAsia="zh-CN"/>
        </w:rPr>
        <w:t>用天线接收）</w:t>
      </w:r>
    </w:p>
    <w:p w14:paraId="439F8417">
      <w:pPr>
        <w:spacing w:line="360" w:lineRule="auto"/>
        <w:rPr>
          <w:rFonts w:hint="eastAsia"/>
          <w:sz w:val="21"/>
          <w:szCs w:val="21"/>
          <w:highlight w:val="none"/>
          <w:lang w:val="en-US" w:eastAsia="zh-CN"/>
        </w:rPr>
      </w:pPr>
      <w:r>
        <w:rPr>
          <w:rFonts w:hint="default"/>
          <w:sz w:val="21"/>
          <w:szCs w:val="21"/>
          <w:highlight w:val="none"/>
          <w:lang w:val="en-US" w:eastAsia="zh-CN"/>
        </w:rPr>
        <w:t>第二步：开机进入</w:t>
      </w:r>
      <w:r>
        <w:rPr>
          <w:rFonts w:hint="eastAsia"/>
          <w:sz w:val="21"/>
          <w:szCs w:val="21"/>
          <w:highlight w:val="none"/>
          <w:lang w:val="en-US" w:eastAsia="zh-CN"/>
        </w:rPr>
        <w:t>电表搜索</w:t>
      </w:r>
      <w:r>
        <w:rPr>
          <w:rFonts w:hint="default"/>
          <w:sz w:val="21"/>
          <w:szCs w:val="21"/>
          <w:highlight w:val="none"/>
          <w:lang w:val="en-US" w:eastAsia="zh-CN"/>
        </w:rPr>
        <w:t>界面，</w:t>
      </w:r>
      <w:r>
        <w:rPr>
          <w:rFonts w:hint="eastAsia"/>
          <w:sz w:val="21"/>
          <w:szCs w:val="21"/>
          <w:highlight w:val="none"/>
          <w:lang w:val="en-US" w:eastAsia="zh-CN"/>
        </w:rPr>
        <w:t>默认频段2，点击“开始”进行搜索。</w:t>
      </w:r>
    </w:p>
    <w:p w14:paraId="4FA97092">
      <w:pPr>
        <w:spacing w:line="360" w:lineRule="auto"/>
        <w:rPr>
          <w:rFonts w:hint="default" w:eastAsiaTheme="minorEastAsia"/>
          <w:sz w:val="21"/>
          <w:szCs w:val="21"/>
          <w:highlight w:val="none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2675255</wp:posOffset>
            </wp:positionH>
            <wp:positionV relativeFrom="paragraph">
              <wp:posOffset>46990</wp:posOffset>
            </wp:positionV>
            <wp:extent cx="1688465" cy="2523490"/>
            <wp:effectExtent l="0" t="0" r="6985" b="10160"/>
            <wp:wrapNone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88465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114300" distR="114300">
            <wp:extent cx="1692275" cy="2522220"/>
            <wp:effectExtent l="0" t="0" r="3175" b="1143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</w:p>
    <w:p w14:paraId="5E159C5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bookmarkStart w:id="17" w:name="_Toc166749109"/>
      <w:bookmarkEnd w:id="17"/>
      <w:bookmarkStart w:id="18" w:name="_Toc166749110"/>
      <w:bookmarkEnd w:id="18"/>
      <w:bookmarkStart w:id="19" w:name="_Toc166749111"/>
      <w:bookmarkEnd w:id="19"/>
      <w:bookmarkStart w:id="20" w:name="_Toc129870772"/>
    </w:p>
    <w:p w14:paraId="1DEBFF5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6F83316C">
      <w:pPr>
        <w:rPr>
          <w:rFonts w:hint="eastAsia"/>
          <w:lang w:val="en-US" w:eastAsia="zh-CN"/>
        </w:rPr>
      </w:pPr>
    </w:p>
    <w:p w14:paraId="1D4F2392">
      <w:pPr>
        <w:pStyle w:val="2"/>
        <w:numPr>
          <w:ilvl w:val="0"/>
          <w:numId w:val="0"/>
        </w:numPr>
        <w:spacing w:line="240" w:lineRule="auto"/>
        <w:ind w:leftChars="0"/>
        <w:rPr>
          <w:rFonts w:hint="eastAsia"/>
          <w:sz w:val="24"/>
          <w:szCs w:val="24"/>
        </w:rPr>
      </w:pPr>
      <w:bookmarkStart w:id="21" w:name="_Toc23754"/>
      <w:r>
        <w:rPr>
          <w:rFonts w:hint="eastAsia"/>
          <w:sz w:val="24"/>
          <w:szCs w:val="24"/>
          <w:lang w:val="en-US" w:eastAsia="zh-CN"/>
        </w:rPr>
        <w:t xml:space="preserve">5  </w:t>
      </w:r>
      <w:r>
        <w:rPr>
          <w:rFonts w:hint="eastAsia"/>
          <w:sz w:val="24"/>
          <w:szCs w:val="24"/>
        </w:rPr>
        <w:t>质量保证条款和服务承诺</w:t>
      </w:r>
      <w:bookmarkEnd w:id="20"/>
      <w:bookmarkEnd w:id="21"/>
    </w:p>
    <w:p w14:paraId="001450D7">
      <w:pPr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我公司承诺所提供的产品严格执行国家规定，实行售后“三包”服务。</w:t>
      </w:r>
    </w:p>
    <w:p w14:paraId="266DEF72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※包退范围</w:t>
      </w:r>
    </w:p>
    <w:p w14:paraId="6287A9C0">
      <w:pPr>
        <w:spacing w:line="360" w:lineRule="auto"/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客户在收到货物验收合格后的7天内，在正常操作情况下发现本产品有质量问题，可以享受包退服务。</w:t>
      </w:r>
    </w:p>
    <w:p w14:paraId="09882137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※包换范围</w:t>
      </w:r>
    </w:p>
    <w:p w14:paraId="466EF520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    客户在收到货物验收合格后的壹月内，在正常操作情况下发现本产品有质量问题，可以享受包换服务。</w:t>
      </w:r>
    </w:p>
    <w:p w14:paraId="29BEA4AB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※保修及维修范围的规定</w:t>
      </w:r>
    </w:p>
    <w:p w14:paraId="11BFF802">
      <w:pPr>
        <w:spacing w:line="36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    保修范围: 客户在收到货物验收合格后的壹年内，正常使用下发现产品质量问题，享受免费保修服务。</w:t>
      </w:r>
    </w:p>
    <w:p w14:paraId="0C9A2DEF">
      <w:pPr>
        <w:spacing w:line="36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※公司对所售产品实行壹年免费保修。</w:t>
      </w:r>
    </w:p>
    <w:p w14:paraId="32C25DA6">
      <w:pPr>
        <w:spacing w:line="360" w:lineRule="auto"/>
        <w:rPr>
          <w:rFonts w:hint="eastAsia"/>
          <w:sz w:val="21"/>
          <w:szCs w:val="21"/>
          <w:lang w:val="en-US" w:eastAsia="zh-CN"/>
        </w:rPr>
      </w:pPr>
    </w:p>
    <w:p w14:paraId="4A4707E5">
      <w:pPr>
        <w:spacing w:line="360" w:lineRule="auto"/>
        <w:jc w:val="righ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深圳市高斯曼科技有限公司</w:t>
      </w:r>
    </w:p>
    <w:p w14:paraId="4BD7D9A8">
      <w:pPr>
        <w:spacing w:line="360" w:lineRule="auto"/>
        <w:jc w:val="right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2020年8月8日</w:t>
      </w:r>
    </w:p>
    <w:p w14:paraId="11E0EF10">
      <w:pPr>
        <w:rPr>
          <w:rFonts w:asciiTheme="minorEastAsia" w:hAnsiTheme="minorEastAsia"/>
          <w:sz w:val="28"/>
          <w:szCs w:val="28"/>
        </w:rPr>
      </w:pPr>
    </w:p>
    <w:p w14:paraId="7D3FE5FE">
      <w:pPr>
        <w:rPr>
          <w:rFonts w:asciiTheme="minorEastAsia" w:hAnsiTheme="minorEastAsia"/>
          <w:sz w:val="28"/>
          <w:szCs w:val="28"/>
        </w:rPr>
      </w:pPr>
      <w:bookmarkStart w:id="22" w:name="_GoBack"/>
      <w:bookmarkEnd w:id="22"/>
    </w:p>
    <w:p w14:paraId="17672F6C">
      <w:pPr>
        <w:rPr>
          <w:rFonts w:asciiTheme="minorEastAsia" w:hAnsiTheme="minorEastAsia"/>
          <w:sz w:val="28"/>
          <w:szCs w:val="28"/>
        </w:rPr>
      </w:pPr>
    </w:p>
    <w:p w14:paraId="6C92F64F">
      <w:pPr>
        <w:rPr>
          <w:rFonts w:asciiTheme="minorEastAsia" w:hAnsiTheme="minorEastAsia"/>
          <w:sz w:val="28"/>
          <w:szCs w:val="28"/>
        </w:rPr>
      </w:pPr>
    </w:p>
    <w:p w14:paraId="5D0017C1">
      <w:pPr>
        <w:tabs>
          <w:tab w:val="left" w:pos="780"/>
        </w:tabs>
        <w:rPr>
          <w:rFonts w:asciiTheme="minorEastAsia" w:hAnsiTheme="minorEastAsia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417" w:bottom="1440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NewRomanPSMT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C5D51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9A2103">
                          <w:pPr>
                            <w:pStyle w:val="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5PuKjdAgAAJgYAAA4AAABkcnMvZTJvRG9jLnhtbK1US27bMBDdF+gd&#10;CO4VSY7s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3k+4qN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9A2103">
                    <w:pPr>
                      <w:pStyle w:val="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DC2AE">
    <w:pPr>
      <w:pStyle w:val="9"/>
      <w:pBdr>
        <w:bottom w:val="single" w:color="auto" w:sz="4" w:space="1"/>
      </w:pBdr>
      <w:jc w:val="both"/>
    </w:pPr>
    <w:r>
      <w:rPr>
        <w:rFonts w:ascii="宋体" w:hAnsi="宋体" w:eastAsia="宋体"/>
        <w:sz w:val="20"/>
        <w:szCs w:val="20"/>
      </w:rPr>
      <w:t xml:space="preserve"> </w:t>
    </w:r>
    <w:r>
      <w:rPr>
        <w:rFonts w:ascii="宋体" w:hAnsi="宋体" w:eastAsia="宋体"/>
        <w:sz w:val="20"/>
        <w:szCs w:val="20"/>
      </w:rPr>
      <w:drawing>
        <wp:inline distT="0" distB="0" distL="114300" distR="114300">
          <wp:extent cx="748030" cy="249555"/>
          <wp:effectExtent l="0" t="0" r="0" b="17145"/>
          <wp:docPr id="170" name="图片 170" descr="gossma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" name="图片 170" descr="gossman 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03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宋体" w:hAnsi="宋体" w:eastAsia="宋体"/>
        <w:sz w:val="20"/>
        <w:szCs w:val="20"/>
      </w:rPr>
      <w:t xml:space="preserve">                         </w:t>
    </w:r>
    <w:r>
      <w:rPr>
        <w:rFonts w:hint="eastAsia" w:ascii="宋体" w:hAnsi="宋体" w:eastAsia="宋体"/>
        <w:sz w:val="20"/>
        <w:szCs w:val="20"/>
        <w:lang w:eastAsia="zh-CN"/>
      </w:rPr>
      <w:t xml:space="preserve">       </w:t>
    </w:r>
    <w:r>
      <w:rPr>
        <w:rFonts w:ascii="宋体" w:hAnsi="宋体" w:eastAsia="宋体"/>
        <w:sz w:val="20"/>
        <w:szCs w:val="20"/>
      </w:rPr>
      <w:t xml:space="preserve">     </w:t>
    </w:r>
    <w:r>
      <w:rPr>
        <w:rFonts w:hint="eastAsia" w:ascii="宋体" w:hAnsi="宋体"/>
        <w:sz w:val="20"/>
        <w:szCs w:val="20"/>
        <w:lang w:val="en-US" w:eastAsia="zh-CN"/>
      </w:rPr>
      <w:t xml:space="preserve">               </w:t>
    </w:r>
    <w:r>
      <w:rPr>
        <w:rFonts w:ascii="宋体" w:hAnsi="宋体" w:eastAsia="宋体"/>
        <w:sz w:val="20"/>
        <w:szCs w:val="20"/>
      </w:rPr>
      <w:t xml:space="preserve"> </w:t>
    </w:r>
    <w:r>
      <w:rPr>
        <w:rFonts w:hint="eastAsia" w:ascii="宋体" w:hAnsi="宋体"/>
        <w:sz w:val="20"/>
        <w:szCs w:val="20"/>
        <w:lang w:val="en-US" w:eastAsia="zh-CN"/>
      </w:rPr>
      <w:t>深圳市高斯曼科技有限公司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CFC879"/>
    <w:multiLevelType w:val="singleLevel"/>
    <w:tmpl w:val="88CFC87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3C207C5"/>
    <w:multiLevelType w:val="multilevel"/>
    <w:tmpl w:val="23C207C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3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A0"/>
    <w:rsid w:val="0000476E"/>
    <w:rsid w:val="00010395"/>
    <w:rsid w:val="00013BDA"/>
    <w:rsid w:val="000219EE"/>
    <w:rsid w:val="000249F8"/>
    <w:rsid w:val="000340E3"/>
    <w:rsid w:val="00086E29"/>
    <w:rsid w:val="000B535E"/>
    <w:rsid w:val="000B6A6F"/>
    <w:rsid w:val="000D47A4"/>
    <w:rsid w:val="000D4AE3"/>
    <w:rsid w:val="000D56B9"/>
    <w:rsid w:val="000E1501"/>
    <w:rsid w:val="00110C64"/>
    <w:rsid w:val="001143EC"/>
    <w:rsid w:val="00122607"/>
    <w:rsid w:val="00136480"/>
    <w:rsid w:val="00156500"/>
    <w:rsid w:val="001603A0"/>
    <w:rsid w:val="00190AEE"/>
    <w:rsid w:val="00190D70"/>
    <w:rsid w:val="001A2519"/>
    <w:rsid w:val="001A6DAD"/>
    <w:rsid w:val="001D2C0A"/>
    <w:rsid w:val="001D6F6C"/>
    <w:rsid w:val="00202F62"/>
    <w:rsid w:val="00203254"/>
    <w:rsid w:val="00205595"/>
    <w:rsid w:val="00211024"/>
    <w:rsid w:val="00216420"/>
    <w:rsid w:val="00233CFB"/>
    <w:rsid w:val="0025222E"/>
    <w:rsid w:val="0026109F"/>
    <w:rsid w:val="00276789"/>
    <w:rsid w:val="002854D8"/>
    <w:rsid w:val="002921B5"/>
    <w:rsid w:val="002B40E2"/>
    <w:rsid w:val="002D0969"/>
    <w:rsid w:val="00320624"/>
    <w:rsid w:val="00332D1E"/>
    <w:rsid w:val="00370F30"/>
    <w:rsid w:val="00374AAB"/>
    <w:rsid w:val="0037714D"/>
    <w:rsid w:val="00395F48"/>
    <w:rsid w:val="0039710F"/>
    <w:rsid w:val="003D5131"/>
    <w:rsid w:val="003D70BC"/>
    <w:rsid w:val="00417A4B"/>
    <w:rsid w:val="00432613"/>
    <w:rsid w:val="00451319"/>
    <w:rsid w:val="00464839"/>
    <w:rsid w:val="004725AF"/>
    <w:rsid w:val="004A4BB4"/>
    <w:rsid w:val="004B7B15"/>
    <w:rsid w:val="004C3775"/>
    <w:rsid w:val="004C49B9"/>
    <w:rsid w:val="004E6CC5"/>
    <w:rsid w:val="004F747B"/>
    <w:rsid w:val="00511C19"/>
    <w:rsid w:val="005156F1"/>
    <w:rsid w:val="00520A94"/>
    <w:rsid w:val="00556DDE"/>
    <w:rsid w:val="005D5B94"/>
    <w:rsid w:val="005E0461"/>
    <w:rsid w:val="00615F64"/>
    <w:rsid w:val="006250B8"/>
    <w:rsid w:val="006377AD"/>
    <w:rsid w:val="00695F30"/>
    <w:rsid w:val="006A0F76"/>
    <w:rsid w:val="006B36CF"/>
    <w:rsid w:val="006C7B15"/>
    <w:rsid w:val="006E423D"/>
    <w:rsid w:val="006E5AC2"/>
    <w:rsid w:val="00710012"/>
    <w:rsid w:val="0071611D"/>
    <w:rsid w:val="00720D2E"/>
    <w:rsid w:val="00764B0D"/>
    <w:rsid w:val="00766C70"/>
    <w:rsid w:val="00785ED3"/>
    <w:rsid w:val="00787762"/>
    <w:rsid w:val="007A04AB"/>
    <w:rsid w:val="007B2430"/>
    <w:rsid w:val="007B5234"/>
    <w:rsid w:val="007C02DE"/>
    <w:rsid w:val="007C2591"/>
    <w:rsid w:val="007C4AF1"/>
    <w:rsid w:val="008040EA"/>
    <w:rsid w:val="008145F6"/>
    <w:rsid w:val="00815B62"/>
    <w:rsid w:val="00831DAB"/>
    <w:rsid w:val="00836069"/>
    <w:rsid w:val="00837498"/>
    <w:rsid w:val="00840C0B"/>
    <w:rsid w:val="008514FF"/>
    <w:rsid w:val="00867606"/>
    <w:rsid w:val="0087778F"/>
    <w:rsid w:val="00884C40"/>
    <w:rsid w:val="00894192"/>
    <w:rsid w:val="008D2F85"/>
    <w:rsid w:val="008F44AD"/>
    <w:rsid w:val="0090325D"/>
    <w:rsid w:val="0091152D"/>
    <w:rsid w:val="00953E2D"/>
    <w:rsid w:val="009A114B"/>
    <w:rsid w:val="009A34C8"/>
    <w:rsid w:val="009C06B5"/>
    <w:rsid w:val="009C609F"/>
    <w:rsid w:val="009D474F"/>
    <w:rsid w:val="009D6099"/>
    <w:rsid w:val="00A3156F"/>
    <w:rsid w:val="00A403A1"/>
    <w:rsid w:val="00A5075E"/>
    <w:rsid w:val="00A6058B"/>
    <w:rsid w:val="00A86718"/>
    <w:rsid w:val="00AC55EE"/>
    <w:rsid w:val="00AD2678"/>
    <w:rsid w:val="00AF61FC"/>
    <w:rsid w:val="00B00B82"/>
    <w:rsid w:val="00B26338"/>
    <w:rsid w:val="00B514FD"/>
    <w:rsid w:val="00B52374"/>
    <w:rsid w:val="00B56C69"/>
    <w:rsid w:val="00B74C7B"/>
    <w:rsid w:val="00BA4D70"/>
    <w:rsid w:val="00BA722A"/>
    <w:rsid w:val="00BD5143"/>
    <w:rsid w:val="00C06C9E"/>
    <w:rsid w:val="00C14A67"/>
    <w:rsid w:val="00C165A8"/>
    <w:rsid w:val="00C251A4"/>
    <w:rsid w:val="00C26692"/>
    <w:rsid w:val="00C42279"/>
    <w:rsid w:val="00C57983"/>
    <w:rsid w:val="00C670D4"/>
    <w:rsid w:val="00CB71E9"/>
    <w:rsid w:val="00CD2044"/>
    <w:rsid w:val="00CD6CE9"/>
    <w:rsid w:val="00D10A4A"/>
    <w:rsid w:val="00D117FD"/>
    <w:rsid w:val="00D1511E"/>
    <w:rsid w:val="00D15FEA"/>
    <w:rsid w:val="00D22FFA"/>
    <w:rsid w:val="00D420EA"/>
    <w:rsid w:val="00D44BEB"/>
    <w:rsid w:val="00D663A6"/>
    <w:rsid w:val="00D84E66"/>
    <w:rsid w:val="00DA1E67"/>
    <w:rsid w:val="00DB293D"/>
    <w:rsid w:val="00DC1604"/>
    <w:rsid w:val="00DC5748"/>
    <w:rsid w:val="00DD15D7"/>
    <w:rsid w:val="00E00DFF"/>
    <w:rsid w:val="00E24D7E"/>
    <w:rsid w:val="00E259D7"/>
    <w:rsid w:val="00E52CF4"/>
    <w:rsid w:val="00E559C3"/>
    <w:rsid w:val="00E64656"/>
    <w:rsid w:val="00E747F2"/>
    <w:rsid w:val="00E93EC0"/>
    <w:rsid w:val="00E949F6"/>
    <w:rsid w:val="00EB691D"/>
    <w:rsid w:val="00ED3BB0"/>
    <w:rsid w:val="00EE4C7C"/>
    <w:rsid w:val="00EE6936"/>
    <w:rsid w:val="00EF2B77"/>
    <w:rsid w:val="00F13DC9"/>
    <w:rsid w:val="00F521E4"/>
    <w:rsid w:val="00F7183A"/>
    <w:rsid w:val="00F72BF7"/>
    <w:rsid w:val="00F81BDD"/>
    <w:rsid w:val="00F91A3F"/>
    <w:rsid w:val="00FE32B6"/>
    <w:rsid w:val="00FF46F9"/>
    <w:rsid w:val="00FF616A"/>
    <w:rsid w:val="01CF1420"/>
    <w:rsid w:val="03F7384C"/>
    <w:rsid w:val="05277667"/>
    <w:rsid w:val="06175475"/>
    <w:rsid w:val="06D84A3C"/>
    <w:rsid w:val="096415FD"/>
    <w:rsid w:val="0A022C81"/>
    <w:rsid w:val="0C5E65EE"/>
    <w:rsid w:val="0CFE17CB"/>
    <w:rsid w:val="0D921D8F"/>
    <w:rsid w:val="0EC8358F"/>
    <w:rsid w:val="0ECF0120"/>
    <w:rsid w:val="1015624C"/>
    <w:rsid w:val="18E24725"/>
    <w:rsid w:val="1CDE0C5F"/>
    <w:rsid w:val="1DA869E5"/>
    <w:rsid w:val="1E4E20A0"/>
    <w:rsid w:val="1F4144C1"/>
    <w:rsid w:val="1F454BDA"/>
    <w:rsid w:val="1F460C2C"/>
    <w:rsid w:val="222A0391"/>
    <w:rsid w:val="224C1496"/>
    <w:rsid w:val="23464084"/>
    <w:rsid w:val="234B7956"/>
    <w:rsid w:val="245B7323"/>
    <w:rsid w:val="24A23FAA"/>
    <w:rsid w:val="275518D4"/>
    <w:rsid w:val="2BB25B82"/>
    <w:rsid w:val="2D1059D5"/>
    <w:rsid w:val="2D2E4048"/>
    <w:rsid w:val="2D6F1B99"/>
    <w:rsid w:val="2DC102C5"/>
    <w:rsid w:val="322E1CC9"/>
    <w:rsid w:val="3534561D"/>
    <w:rsid w:val="358A6891"/>
    <w:rsid w:val="39070A41"/>
    <w:rsid w:val="39406294"/>
    <w:rsid w:val="3967360F"/>
    <w:rsid w:val="3C0417FB"/>
    <w:rsid w:val="3C241643"/>
    <w:rsid w:val="3CB53898"/>
    <w:rsid w:val="3E6F35DF"/>
    <w:rsid w:val="3E7C1B1B"/>
    <w:rsid w:val="3F0E7022"/>
    <w:rsid w:val="427F1BDB"/>
    <w:rsid w:val="42C93057"/>
    <w:rsid w:val="43727184"/>
    <w:rsid w:val="468B523D"/>
    <w:rsid w:val="48D34731"/>
    <w:rsid w:val="49200CF1"/>
    <w:rsid w:val="49211C3E"/>
    <w:rsid w:val="49603C6A"/>
    <w:rsid w:val="4C7E1155"/>
    <w:rsid w:val="4C9817FA"/>
    <w:rsid w:val="4EB71F7E"/>
    <w:rsid w:val="4EF0117A"/>
    <w:rsid w:val="4F176180"/>
    <w:rsid w:val="5057296A"/>
    <w:rsid w:val="54581F86"/>
    <w:rsid w:val="56AA5747"/>
    <w:rsid w:val="56B41E25"/>
    <w:rsid w:val="57756282"/>
    <w:rsid w:val="58DB2F07"/>
    <w:rsid w:val="5A11646E"/>
    <w:rsid w:val="61B6255C"/>
    <w:rsid w:val="62E81612"/>
    <w:rsid w:val="638A5692"/>
    <w:rsid w:val="67D57458"/>
    <w:rsid w:val="67FE2A02"/>
    <w:rsid w:val="695F683E"/>
    <w:rsid w:val="69AB1EDE"/>
    <w:rsid w:val="69D361E5"/>
    <w:rsid w:val="6A3658CC"/>
    <w:rsid w:val="6AEB42A9"/>
    <w:rsid w:val="6CDB2EC2"/>
    <w:rsid w:val="6CE95818"/>
    <w:rsid w:val="6D237927"/>
    <w:rsid w:val="6F3E739F"/>
    <w:rsid w:val="6F8D19DA"/>
    <w:rsid w:val="70B50A96"/>
    <w:rsid w:val="76132FBC"/>
    <w:rsid w:val="76546606"/>
    <w:rsid w:val="778A61F8"/>
    <w:rsid w:val="77E10BD7"/>
    <w:rsid w:val="77FC4A60"/>
    <w:rsid w:val="79A45C5B"/>
    <w:rsid w:val="7A9F0781"/>
    <w:rsid w:val="7E0C77E5"/>
    <w:rsid w:val="7E85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unhideWhenUsed/>
    <w:qFormat/>
    <w:uiPriority w:val="9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7"/>
    <w:semiHidden/>
    <w:unhideWhenUsed/>
    <w:qFormat/>
    <w:uiPriority w:val="99"/>
    <w:pPr>
      <w:jc w:val="left"/>
    </w:pPr>
  </w:style>
  <w:style w:type="paragraph" w:styleId="6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7">
    <w:name w:val="Balloon Text"/>
    <w:basedOn w:val="1"/>
    <w:link w:val="20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unhideWhenUsed/>
    <w:qFormat/>
    <w:uiPriority w:val="39"/>
    <w:pPr>
      <w:tabs>
        <w:tab w:val="left" w:pos="420"/>
        <w:tab w:val="right" w:leader="dot" w:pos="8296"/>
      </w:tabs>
    </w:pPr>
  </w:style>
  <w:style w:type="paragraph" w:styleId="11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12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annotation subject"/>
    <w:basedOn w:val="5"/>
    <w:next w:val="5"/>
    <w:link w:val="28"/>
    <w:semiHidden/>
    <w:unhideWhenUsed/>
    <w:qFormat/>
    <w:uiPriority w:val="99"/>
    <w:rPr>
      <w:b/>
      <w:bCs/>
    </w:r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9">
    <w:name w:val="标题 1 字符"/>
    <w:basedOn w:val="15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20">
    <w:name w:val="批注框文本 字符"/>
    <w:basedOn w:val="15"/>
    <w:link w:val="7"/>
    <w:semiHidden/>
    <w:qFormat/>
    <w:uiPriority w:val="99"/>
    <w:rPr>
      <w:sz w:val="18"/>
      <w:szCs w:val="18"/>
    </w:rPr>
  </w:style>
  <w:style w:type="character" w:customStyle="1" w:styleId="21">
    <w:name w:val="标题 2 字符"/>
    <w:basedOn w:val="15"/>
    <w:link w:val="3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22">
    <w:name w:val="TOC 标题1"/>
    <w:basedOn w:val="2"/>
    <w:next w:val="1"/>
    <w:autoRedefine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3">
    <w:name w:val="标题 3 字符"/>
    <w:basedOn w:val="15"/>
    <w:link w:val="4"/>
    <w:autoRedefine/>
    <w:qFormat/>
    <w:uiPriority w:val="9"/>
    <w:rPr>
      <w:b/>
      <w:bCs/>
      <w:sz w:val="32"/>
      <w:szCs w:val="32"/>
    </w:rPr>
  </w:style>
  <w:style w:type="paragraph" w:styleId="2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5">
    <w:name w:val="页眉 字符"/>
    <w:basedOn w:val="15"/>
    <w:link w:val="9"/>
    <w:autoRedefine/>
    <w:qFormat/>
    <w:uiPriority w:val="99"/>
    <w:rPr>
      <w:sz w:val="18"/>
      <w:szCs w:val="18"/>
    </w:rPr>
  </w:style>
  <w:style w:type="character" w:customStyle="1" w:styleId="26">
    <w:name w:val="页脚 字符"/>
    <w:basedOn w:val="15"/>
    <w:link w:val="8"/>
    <w:autoRedefine/>
    <w:qFormat/>
    <w:uiPriority w:val="99"/>
    <w:rPr>
      <w:sz w:val="18"/>
      <w:szCs w:val="18"/>
    </w:rPr>
  </w:style>
  <w:style w:type="character" w:customStyle="1" w:styleId="27">
    <w:name w:val="批注文字 字符"/>
    <w:basedOn w:val="15"/>
    <w:link w:val="5"/>
    <w:semiHidden/>
    <w:qFormat/>
    <w:uiPriority w:val="99"/>
    <w:rPr>
      <w:kern w:val="2"/>
      <w:sz w:val="21"/>
      <w:szCs w:val="22"/>
    </w:rPr>
  </w:style>
  <w:style w:type="character" w:customStyle="1" w:styleId="28">
    <w:name w:val="批注主题 字符"/>
    <w:basedOn w:val="27"/>
    <w:link w:val="13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404C29-FC58-4C1E-A41D-2EC4B427CF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2939</Words>
  <Characters>3198</Characters>
  <Lines>42</Lines>
  <Paragraphs>11</Paragraphs>
  <TotalTime>3</TotalTime>
  <ScaleCrop>false</ScaleCrop>
  <LinksUpToDate>false</LinksUpToDate>
  <CharactersWithSpaces>3470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2023-07-11T10:35:00Z</dcterms:created>
  <dc:creator>xb21cn</dc:creator>
  <cp:lastModifiedBy>韦世朗</cp:lastModifiedBy>
  <cp:lastPrinted>2024-05-16T06:15:00Z</cp:lastPrinted>
  <dcterms:modified xsi:type="dcterms:W3CDTF">2026-01-28T01:45:35Z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B683A826BD4C4840A3B2DC88A541C865_13</vt:lpwstr>
  </property>
  <property fmtid="{D5CDD505-2E9C-101B-9397-08002B2CF9AE}" pid="4" name="KSOTemplateDocerSaveRecord">
    <vt:lpwstr>eyJoZGlkIjoiOWU5YTgyYmQ1OTFhODhjZmFmYjEzNTExZGRlZDM5NWEiLCJ1c2VySWQiOiIyNjA5MjIwMjEifQ==</vt:lpwstr>
  </property>
</Properties>
</file>